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6"/>
      </w:tblGrid>
      <w:tr w:rsidR="00E13736" w14:paraId="78708BE8" w14:textId="77777777" w:rsidTr="00F31078">
        <w:trPr>
          <w:trHeight w:val="275"/>
        </w:trPr>
        <w:tc>
          <w:tcPr>
            <w:tcW w:w="9856" w:type="dxa"/>
          </w:tcPr>
          <w:p w14:paraId="09681169" w14:textId="77777777" w:rsidR="00E13736" w:rsidRDefault="00E13736" w:rsidP="00F31078">
            <w:pPr>
              <w:pStyle w:val="TableParagraph"/>
              <w:spacing w:line="256" w:lineRule="exact"/>
              <w:ind w:left="2358" w:right="2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LABORATORIO: CNR-ISPC</w:t>
            </w:r>
          </w:p>
        </w:tc>
      </w:tr>
      <w:tr w:rsidR="00E13736" w14:paraId="55F18003" w14:textId="77777777" w:rsidTr="006837E5">
        <w:trPr>
          <w:trHeight w:val="613"/>
        </w:trPr>
        <w:tc>
          <w:tcPr>
            <w:tcW w:w="9856" w:type="dxa"/>
          </w:tcPr>
          <w:p w14:paraId="4D83709E" w14:textId="3A32F2A7" w:rsidR="007C3458" w:rsidRDefault="00E13736" w:rsidP="00F31078">
            <w:pPr>
              <w:pStyle w:val="TableParagraph"/>
              <w:rPr>
                <w:b/>
                <w:sz w:val="24"/>
              </w:rPr>
            </w:pPr>
            <w:r w:rsidRPr="007C3458">
              <w:rPr>
                <w:b/>
                <w:sz w:val="24"/>
              </w:rPr>
              <w:t>NOME STRUMENTO</w:t>
            </w:r>
          </w:p>
          <w:p w14:paraId="4F93C4F6" w14:textId="77777777" w:rsidR="00931242" w:rsidRDefault="00931242" w:rsidP="00F31078">
            <w:pPr>
              <w:pStyle w:val="TableParagraph"/>
              <w:rPr>
                <w:sz w:val="24"/>
              </w:rPr>
            </w:pPr>
          </w:p>
          <w:p w14:paraId="1C0E2512" w14:textId="77777777" w:rsidR="00931242" w:rsidRDefault="004D7183" w:rsidP="001C7567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Matest</w:t>
            </w:r>
            <w:proofErr w:type="spellEnd"/>
            <w:r>
              <w:rPr>
                <w:sz w:val="24"/>
              </w:rPr>
              <w:t xml:space="preserve"> </w:t>
            </w:r>
            <w:r w:rsidRPr="00311558">
              <w:rPr>
                <w:sz w:val="24"/>
              </w:rPr>
              <w:t>C369N equipaggiato con sonde da 55kHz</w:t>
            </w:r>
            <w:r>
              <w:rPr>
                <w:sz w:val="24"/>
              </w:rPr>
              <w:t xml:space="preserve"> </w:t>
            </w:r>
          </w:p>
          <w:p w14:paraId="36D2F443" w14:textId="27059411" w:rsidR="004D7183" w:rsidRDefault="004D7183" w:rsidP="001C7567">
            <w:pPr>
              <w:pStyle w:val="TableParagraph"/>
              <w:spacing w:line="274" w:lineRule="exact"/>
              <w:jc w:val="both"/>
              <w:rPr>
                <w:sz w:val="24"/>
              </w:rPr>
            </w:pPr>
          </w:p>
        </w:tc>
      </w:tr>
      <w:tr w:rsidR="00E13736" w14:paraId="50486164" w14:textId="77777777" w:rsidTr="006837E5">
        <w:trPr>
          <w:trHeight w:val="5056"/>
        </w:trPr>
        <w:tc>
          <w:tcPr>
            <w:tcW w:w="9856" w:type="dxa"/>
            <w:tcBorders>
              <w:bottom w:val="nil"/>
            </w:tcBorders>
          </w:tcPr>
          <w:p w14:paraId="653B8F65" w14:textId="77777777" w:rsidR="00931242" w:rsidRDefault="00931242" w:rsidP="00F31078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</w:p>
          <w:p w14:paraId="2E5958E9" w14:textId="675C9135" w:rsidR="00E13736" w:rsidRDefault="00E13736" w:rsidP="00F31078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INFORMAZIONI GENERALI:</w:t>
            </w:r>
          </w:p>
          <w:p w14:paraId="6F19EA8F" w14:textId="7B164F0B" w:rsidR="00DF30D9" w:rsidRDefault="001010F5" w:rsidP="00957771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La misura ultrasonica è un metodo completamente non invasivo che vede la sua applicazione in primis per la valutazione dello stato di conservazione, per l’individuazione di difetti interni di strutture in cemento/calcestruzzo</w:t>
            </w:r>
            <w:r w:rsidR="00F83A56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="00F83A56">
              <w:rPr>
                <w:sz w:val="24"/>
              </w:rPr>
              <w:t>È possibile, con opportune configurazioni dello strumento, anche rilevare la presenza di strati con diverso stato di conservazione e</w:t>
            </w:r>
            <w:r>
              <w:rPr>
                <w:sz w:val="24"/>
              </w:rPr>
              <w:t xml:space="preserve"> di determinare fino a che profondità si estende una fessura visibile </w:t>
            </w:r>
            <w:r w:rsidR="00321C94">
              <w:rPr>
                <w:sz w:val="24"/>
              </w:rPr>
              <w:t>da</w:t>
            </w:r>
            <w:r>
              <w:rPr>
                <w:sz w:val="24"/>
              </w:rPr>
              <w:t xml:space="preserve">lla superficie. La misura ultrasonica è stata anche applicata per la verifica di trattamenti consolidanti su pietre. Il principio su cui si basa la misura è legato al fatto che la velocità dell’impulso ultrasonico dipende dalle proprietà del mezzo che attraversa in particolare dalla densità e dalle </w:t>
            </w:r>
            <w:r w:rsidR="00F83A56">
              <w:rPr>
                <w:sz w:val="24"/>
              </w:rPr>
              <w:t>caratteristiche</w:t>
            </w:r>
            <w:r>
              <w:rPr>
                <w:sz w:val="24"/>
              </w:rPr>
              <w:t xml:space="preserve"> elastiche</w:t>
            </w:r>
            <w:r w:rsidR="00F83A56">
              <w:rPr>
                <w:sz w:val="24"/>
              </w:rPr>
              <w:t>. L’impulso è inviato da una sonda trasm</w:t>
            </w:r>
            <w:r w:rsidR="00695AAB">
              <w:rPr>
                <w:sz w:val="24"/>
              </w:rPr>
              <w:t>i</w:t>
            </w:r>
            <w:r w:rsidR="00F83A56">
              <w:rPr>
                <w:sz w:val="24"/>
              </w:rPr>
              <w:t>ttente e acquisito dalla sonda ricevente. La sonda è accoppiata al</w:t>
            </w:r>
            <w:r w:rsidR="00E34614">
              <w:rPr>
                <w:sz w:val="24"/>
              </w:rPr>
              <w:t>la superficie da analizzare con</w:t>
            </w:r>
            <w:r w:rsidR="00F83A56">
              <w:rPr>
                <w:sz w:val="24"/>
              </w:rPr>
              <w:t xml:space="preserve"> </w:t>
            </w:r>
            <w:r w:rsidR="00E34614">
              <w:rPr>
                <w:sz w:val="24"/>
              </w:rPr>
              <w:t xml:space="preserve">un </w:t>
            </w:r>
            <w:r w:rsidR="00F83A56">
              <w:rPr>
                <w:sz w:val="24"/>
              </w:rPr>
              <w:t xml:space="preserve">materiale </w:t>
            </w:r>
            <w:r w:rsidR="00E34614">
              <w:rPr>
                <w:sz w:val="24"/>
              </w:rPr>
              <w:t>tipo vasellina, gel</w:t>
            </w:r>
            <w:r w:rsidR="00C46E7D">
              <w:rPr>
                <w:sz w:val="24"/>
              </w:rPr>
              <w:t xml:space="preserve"> per ultrasuoni</w:t>
            </w:r>
            <w:r w:rsidR="00E34614">
              <w:rPr>
                <w:sz w:val="24"/>
              </w:rPr>
              <w:t xml:space="preserve">, plastilina in modo tale </w:t>
            </w:r>
            <w:r w:rsidR="0040360C">
              <w:rPr>
                <w:sz w:val="24"/>
              </w:rPr>
              <w:t xml:space="preserve">da </w:t>
            </w:r>
            <w:r w:rsidR="00E34614">
              <w:rPr>
                <w:sz w:val="24"/>
              </w:rPr>
              <w:t>ridurre al minimo la presenza di aria all’interfaccia tra sonda/superficie.</w:t>
            </w:r>
            <w:r w:rsidR="00F83A56">
              <w:rPr>
                <w:sz w:val="24"/>
              </w:rPr>
              <w:t xml:space="preserve"> </w:t>
            </w:r>
            <w:r w:rsidR="00E34614">
              <w:rPr>
                <w:sz w:val="24"/>
              </w:rPr>
              <w:t xml:space="preserve">La misura ultrasonica come detto può operare con diverse configurazioni dello strumento sia per ragioni di carattere investigativo sia per morfologia delle superficie (si veda figura </w:t>
            </w:r>
            <w:r w:rsidR="007E54D3">
              <w:rPr>
                <w:sz w:val="24"/>
              </w:rPr>
              <w:t>1</w:t>
            </w:r>
            <w:r w:rsidR="00E34614">
              <w:rPr>
                <w:sz w:val="24"/>
              </w:rPr>
              <w:t>).</w:t>
            </w:r>
            <w:r w:rsidR="00E757B6">
              <w:rPr>
                <w:sz w:val="24"/>
              </w:rPr>
              <w:t xml:space="preserve"> </w:t>
            </w:r>
            <w:proofErr w:type="gramStart"/>
            <w:r w:rsidR="00E757B6">
              <w:rPr>
                <w:sz w:val="24"/>
              </w:rPr>
              <w:t>Ad esempio</w:t>
            </w:r>
            <w:proofErr w:type="gramEnd"/>
            <w:r w:rsidR="00E757B6">
              <w:rPr>
                <w:sz w:val="24"/>
              </w:rPr>
              <w:t xml:space="preserve"> il metodo indiretto realizzato con distanze di percorso crescenti può essere utile per individuare eventuali cambiamenti nelle proprietà del cemento (da sano a alterato o viceversa) questo cambiamento si individua nel punto in cui varia la pendenza della curva del valore ultrasonico in funzione delle distanza.</w:t>
            </w:r>
            <w:r w:rsidR="001D7AC4">
              <w:rPr>
                <w:sz w:val="24"/>
              </w:rPr>
              <w:t xml:space="preserve"> </w:t>
            </w:r>
            <w:r w:rsidR="00F83A56">
              <w:rPr>
                <w:sz w:val="24"/>
              </w:rPr>
              <w:t xml:space="preserve">Esistono </w:t>
            </w:r>
            <w:proofErr w:type="gramStart"/>
            <w:r w:rsidR="00F83A56">
              <w:rPr>
                <w:sz w:val="24"/>
              </w:rPr>
              <w:t>diversi tipologie</w:t>
            </w:r>
            <w:proofErr w:type="gramEnd"/>
            <w:r w:rsidR="00F83A56">
              <w:rPr>
                <w:sz w:val="24"/>
              </w:rPr>
              <w:t xml:space="preserve"> di sonde ultrasoniche che operano con differenti frequenze e che permettono di investigare lunghezze di percorsi differenti. </w:t>
            </w:r>
            <w:r>
              <w:rPr>
                <w:sz w:val="24"/>
              </w:rPr>
              <w:t xml:space="preserve">  </w:t>
            </w:r>
            <w:r w:rsidR="004C7D35" w:rsidRPr="008655A6">
              <w:rPr>
                <w:sz w:val="24"/>
              </w:rPr>
              <w:t xml:space="preserve"> </w:t>
            </w:r>
          </w:p>
        </w:tc>
      </w:tr>
      <w:tr w:rsidR="007E54D3" w14:paraId="51ABF69F" w14:textId="77777777" w:rsidTr="006837E5">
        <w:trPr>
          <w:trHeight w:val="2203"/>
        </w:trPr>
        <w:tc>
          <w:tcPr>
            <w:tcW w:w="9856" w:type="dxa"/>
            <w:tcBorders>
              <w:top w:val="nil"/>
              <w:bottom w:val="nil"/>
            </w:tcBorders>
          </w:tcPr>
          <w:p w14:paraId="33474EEF" w14:textId="2537773D" w:rsidR="007E54D3" w:rsidRPr="007E54D3" w:rsidRDefault="007E54D3" w:rsidP="00F31078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 w:rsidRPr="007E54D3">
              <w:rPr>
                <w:noProof/>
                <w:lang w:bidi="ar-SA"/>
              </w:rPr>
              <w:drawing>
                <wp:anchor distT="0" distB="0" distL="114300" distR="114300" simplePos="0" relativeHeight="251662336" behindDoc="1" locked="0" layoutInCell="1" allowOverlap="1" wp14:anchorId="44AB9C69" wp14:editId="2940AB04">
                  <wp:simplePos x="0" y="0"/>
                  <wp:positionH relativeFrom="column">
                    <wp:posOffset>3727450</wp:posOffset>
                  </wp:positionH>
                  <wp:positionV relativeFrom="paragraph">
                    <wp:posOffset>6350</wp:posOffset>
                  </wp:positionV>
                  <wp:extent cx="2206625" cy="1898015"/>
                  <wp:effectExtent l="0" t="0" r="3175" b="6985"/>
                  <wp:wrapTight wrapText="bothSides">
                    <wp:wrapPolygon edited="0">
                      <wp:start x="0" y="0"/>
                      <wp:lineTo x="0" y="21463"/>
                      <wp:lineTo x="21445" y="21463"/>
                      <wp:lineTo x="21445" y="0"/>
                      <wp:lineTo x="0" y="0"/>
                    </wp:wrapPolygon>
                  </wp:wrapTight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6625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54D3">
              <w:rPr>
                <w:noProof/>
                <w:lang w:bidi="ar-SA"/>
              </w:rPr>
              <w:drawing>
                <wp:anchor distT="0" distB="0" distL="114300" distR="114300" simplePos="0" relativeHeight="251661312" behindDoc="1" locked="0" layoutInCell="1" allowOverlap="1" wp14:anchorId="2FE488EF" wp14:editId="04F54F49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-635</wp:posOffset>
                  </wp:positionV>
                  <wp:extent cx="2752725" cy="934720"/>
                  <wp:effectExtent l="0" t="0" r="9525" b="0"/>
                  <wp:wrapTight wrapText="bothSides">
                    <wp:wrapPolygon edited="0">
                      <wp:start x="0" y="0"/>
                      <wp:lineTo x="0" y="21130"/>
                      <wp:lineTo x="21525" y="21130"/>
                      <wp:lineTo x="21525" y="0"/>
                      <wp:lineTo x="0" y="0"/>
                    </wp:wrapPolygon>
                  </wp:wrapTight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25" cy="934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54D3">
              <w:rPr>
                <w:noProof/>
                <w:lang w:bidi="ar-SA"/>
              </w:rPr>
              <w:drawing>
                <wp:anchor distT="0" distB="0" distL="114300" distR="114300" simplePos="0" relativeHeight="251659264" behindDoc="1" locked="0" layoutInCell="1" allowOverlap="1" wp14:anchorId="46496393" wp14:editId="6A5284A6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989965</wp:posOffset>
                  </wp:positionV>
                  <wp:extent cx="2933700" cy="920750"/>
                  <wp:effectExtent l="0" t="0" r="0" b="0"/>
                  <wp:wrapTight wrapText="bothSides">
                    <wp:wrapPolygon edited="0">
                      <wp:start x="0" y="0"/>
                      <wp:lineTo x="0" y="21004"/>
                      <wp:lineTo x="21460" y="21004"/>
                      <wp:lineTo x="21460" y="0"/>
                      <wp:lineTo x="0" y="0"/>
                    </wp:wrapPolygon>
                  </wp:wrapTight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92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E54D3" w14:paraId="752FDAB9" w14:textId="77777777" w:rsidTr="006837E5">
        <w:trPr>
          <w:trHeight w:val="224"/>
        </w:trPr>
        <w:tc>
          <w:tcPr>
            <w:tcW w:w="9856" w:type="dxa"/>
            <w:tcBorders>
              <w:top w:val="nil"/>
            </w:tcBorders>
          </w:tcPr>
          <w:p w14:paraId="27CCC1B4" w14:textId="3B3C2110" w:rsidR="007E54D3" w:rsidRPr="007E54D3" w:rsidRDefault="007E54D3" w:rsidP="007D369A">
            <w:pPr>
              <w:pStyle w:val="TableParagraph"/>
              <w:ind w:right="35"/>
              <w:rPr>
                <w:noProof/>
                <w:lang w:bidi="ar-SA"/>
              </w:rPr>
            </w:pPr>
            <w:r w:rsidRPr="007E54D3">
              <w:rPr>
                <w:sz w:val="20"/>
                <w:szCs w:val="20"/>
              </w:rPr>
              <w:t>Figura 1.</w:t>
            </w:r>
            <w:r>
              <w:rPr>
                <w:sz w:val="20"/>
                <w:szCs w:val="20"/>
              </w:rPr>
              <w:t xml:space="preserve"> </w:t>
            </w:r>
            <w:r w:rsidRPr="007E54D3">
              <w:rPr>
                <w:sz w:val="20"/>
                <w:szCs w:val="20"/>
              </w:rPr>
              <w:t>In alto: metodo diretto, semi-diretto, indiretto; in basso: configurazione per determinare profondità crack; a lato: configurazione per individuare cambiam</w:t>
            </w:r>
            <w:r w:rsidR="007D369A">
              <w:rPr>
                <w:sz w:val="20"/>
                <w:szCs w:val="20"/>
              </w:rPr>
              <w:t>e</w:t>
            </w:r>
            <w:r w:rsidRPr="007E54D3">
              <w:rPr>
                <w:sz w:val="20"/>
                <w:szCs w:val="20"/>
              </w:rPr>
              <w:t>nti nelle proprietà del materiale</w:t>
            </w:r>
          </w:p>
        </w:tc>
      </w:tr>
      <w:tr w:rsidR="00E13736" w14:paraId="0252F360" w14:textId="77777777" w:rsidTr="00012ACF">
        <w:trPr>
          <w:trHeight w:val="5604"/>
        </w:trPr>
        <w:tc>
          <w:tcPr>
            <w:tcW w:w="9856" w:type="dxa"/>
          </w:tcPr>
          <w:p w14:paraId="42A233B7" w14:textId="77777777" w:rsidR="00931242" w:rsidRDefault="00931242" w:rsidP="00F31078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</w:p>
          <w:p w14:paraId="6D70A9C6" w14:textId="38F8FA2C" w:rsidR="00E13736" w:rsidRDefault="00E13736" w:rsidP="00F31078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 w:rsidRPr="007C3458">
              <w:rPr>
                <w:b/>
                <w:sz w:val="24"/>
              </w:rPr>
              <w:t>DETTAGLI TECNICI:</w:t>
            </w:r>
          </w:p>
          <w:p w14:paraId="32967A5E" w14:textId="72EB312B" w:rsidR="007C3458" w:rsidRDefault="007C3458" w:rsidP="007C3458">
            <w:pPr>
              <w:pStyle w:val="TableParagraph"/>
              <w:spacing w:line="274" w:lineRule="exact"/>
              <w:jc w:val="both"/>
              <w:rPr>
                <w:i/>
                <w:sz w:val="24"/>
              </w:rPr>
            </w:pPr>
            <w:r w:rsidRPr="007C3458">
              <w:rPr>
                <w:i/>
                <w:sz w:val="24"/>
              </w:rPr>
              <w:t>Strumentazione:</w:t>
            </w:r>
          </w:p>
          <w:p w14:paraId="20DD0F91" w14:textId="6663C610" w:rsidR="00F83A56" w:rsidRPr="0003270E" w:rsidRDefault="0003270E" w:rsidP="007C3458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L</w:t>
            </w:r>
            <w:r w:rsidRPr="0003270E">
              <w:rPr>
                <w:sz w:val="24"/>
              </w:rPr>
              <w:t xml:space="preserve">o strumento </w:t>
            </w:r>
            <w:r w:rsidR="00A04E86">
              <w:rPr>
                <w:sz w:val="24"/>
              </w:rPr>
              <w:t xml:space="preserve">in dotazione è un </w:t>
            </w:r>
            <w:proofErr w:type="spellStart"/>
            <w:r w:rsidR="00A04E86">
              <w:rPr>
                <w:sz w:val="24"/>
              </w:rPr>
              <w:t>Matest</w:t>
            </w:r>
            <w:proofErr w:type="spellEnd"/>
            <w:r w:rsidR="00A04E86">
              <w:rPr>
                <w:sz w:val="24"/>
              </w:rPr>
              <w:t xml:space="preserve"> </w:t>
            </w:r>
            <w:r w:rsidR="00A04E86" w:rsidRPr="00311558">
              <w:rPr>
                <w:sz w:val="24"/>
              </w:rPr>
              <w:t>C369N</w:t>
            </w:r>
            <w:r w:rsidR="00311558" w:rsidRPr="00311558">
              <w:rPr>
                <w:sz w:val="24"/>
              </w:rPr>
              <w:t xml:space="preserve"> equipaggiato con sonde da 55kHz</w:t>
            </w:r>
            <w:r w:rsidR="006837E5">
              <w:rPr>
                <w:sz w:val="24"/>
              </w:rPr>
              <w:t xml:space="preserve"> (Figura 2)</w:t>
            </w:r>
          </w:p>
          <w:p w14:paraId="15B0C428" w14:textId="77777777" w:rsidR="007C3458" w:rsidRDefault="007C3458" w:rsidP="007C3458">
            <w:pPr>
              <w:pStyle w:val="TableParagraph"/>
              <w:spacing w:line="274" w:lineRule="exact"/>
              <w:jc w:val="both"/>
              <w:rPr>
                <w:i/>
                <w:sz w:val="24"/>
              </w:rPr>
            </w:pPr>
            <w:r w:rsidRPr="007C3458">
              <w:rPr>
                <w:i/>
                <w:sz w:val="24"/>
              </w:rPr>
              <w:t>Applicazioni:</w:t>
            </w:r>
            <w:r w:rsidRPr="007C3458">
              <w:rPr>
                <w:i/>
                <w:sz w:val="24"/>
              </w:rPr>
              <w:tab/>
            </w:r>
          </w:p>
          <w:p w14:paraId="027C5934" w14:textId="45C19ED6" w:rsidR="007E54D3" w:rsidRDefault="007E54D3" w:rsidP="007C3458">
            <w:pPr>
              <w:pStyle w:val="TableParagraph"/>
              <w:spacing w:line="274" w:lineRule="exact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Valutazione dello stato di conservazione</w:t>
            </w:r>
            <w:r w:rsidR="0003270E">
              <w:rPr>
                <w:sz w:val="24"/>
              </w:rPr>
              <w:t xml:space="preserve"> e presenza di strati con diverso stato di conservazione</w:t>
            </w:r>
            <w:r>
              <w:rPr>
                <w:sz w:val="24"/>
              </w:rPr>
              <w:t xml:space="preserve">, individuazione di difetti interni di strutture in cemento/calcestruzzo; </w:t>
            </w:r>
            <w:r w:rsidR="0003270E">
              <w:rPr>
                <w:sz w:val="24"/>
              </w:rPr>
              <w:t xml:space="preserve">determinazione estensione in profondità di fessure; </w:t>
            </w:r>
            <w:r w:rsidR="00957771">
              <w:rPr>
                <w:sz w:val="24"/>
              </w:rPr>
              <w:t>valutazione</w:t>
            </w:r>
            <w:r w:rsidR="0003270E">
              <w:rPr>
                <w:sz w:val="24"/>
              </w:rPr>
              <w:t xml:space="preserve"> di trattamenti consolidanti su pietre</w:t>
            </w:r>
            <w:r w:rsidR="00957771">
              <w:rPr>
                <w:sz w:val="24"/>
              </w:rPr>
              <w:t>; la misura ultrasonica viene utilizzata come riferimento per test di invecchiamento accelerato (tipo gelo-disgelo).</w:t>
            </w:r>
          </w:p>
          <w:p w14:paraId="6302B44E" w14:textId="3994E90E" w:rsidR="00E13736" w:rsidRDefault="00E13736" w:rsidP="00DF30D9">
            <w:pPr>
              <w:pStyle w:val="TableParagraph"/>
              <w:spacing w:before="6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1C7567">
              <w:rPr>
                <w:noProof/>
                <w:lang w:bidi="ar-SA"/>
              </w:rPr>
              <w:drawing>
                <wp:inline distT="0" distB="0" distL="0" distR="0" wp14:anchorId="602877BD" wp14:editId="63D76F4E">
                  <wp:extent cx="2438400" cy="18383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D7AC4">
              <w:rPr>
                <w:noProof/>
                <w:sz w:val="24"/>
                <w:lang w:bidi="ar-SA"/>
              </w:rPr>
              <w:drawing>
                <wp:inline distT="0" distB="0" distL="0" distR="0" wp14:anchorId="020C14ED" wp14:editId="0DF8298A">
                  <wp:extent cx="2516908" cy="183832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908" cy="1838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1EFA9D4" w14:textId="6854C1B5" w:rsidR="007C3458" w:rsidRDefault="00E13736" w:rsidP="007E54D3">
            <w:pPr>
              <w:pStyle w:val="TableParagraph"/>
              <w:ind w:right="35"/>
              <w:rPr>
                <w:sz w:val="24"/>
              </w:rPr>
            </w:pPr>
            <w:r w:rsidRPr="00CD50DD">
              <w:rPr>
                <w:sz w:val="20"/>
                <w:szCs w:val="20"/>
              </w:rPr>
              <w:t>Figura</w:t>
            </w:r>
            <w:r w:rsidR="007E54D3">
              <w:rPr>
                <w:sz w:val="20"/>
                <w:szCs w:val="20"/>
              </w:rPr>
              <w:t xml:space="preserve"> 2.</w:t>
            </w:r>
            <w:r w:rsidRPr="00CD50DD">
              <w:rPr>
                <w:sz w:val="20"/>
                <w:szCs w:val="20"/>
              </w:rPr>
              <w:t xml:space="preserve"> </w:t>
            </w:r>
            <w:r w:rsidR="007C3458" w:rsidRPr="00CD50DD">
              <w:rPr>
                <w:sz w:val="20"/>
                <w:szCs w:val="20"/>
              </w:rPr>
              <w:t>(a)</w:t>
            </w:r>
            <w:r w:rsidR="007A2C00" w:rsidRPr="00CD50DD">
              <w:rPr>
                <w:sz w:val="20"/>
                <w:szCs w:val="20"/>
              </w:rPr>
              <w:t xml:space="preserve"> </w:t>
            </w:r>
            <w:r w:rsidR="001D7AC4">
              <w:rPr>
                <w:sz w:val="20"/>
                <w:szCs w:val="20"/>
              </w:rPr>
              <w:t xml:space="preserve">strumento ultrasonico </w:t>
            </w:r>
            <w:proofErr w:type="spellStart"/>
            <w:r w:rsidR="001D7AC4">
              <w:rPr>
                <w:sz w:val="20"/>
                <w:szCs w:val="20"/>
              </w:rPr>
              <w:t>Matest</w:t>
            </w:r>
            <w:proofErr w:type="spellEnd"/>
            <w:r w:rsidR="001D7AC4">
              <w:rPr>
                <w:sz w:val="20"/>
                <w:szCs w:val="20"/>
              </w:rPr>
              <w:t xml:space="preserve"> </w:t>
            </w:r>
            <w:proofErr w:type="gramStart"/>
            <w:r w:rsidR="001D7AC4">
              <w:rPr>
                <w:sz w:val="20"/>
                <w:szCs w:val="20"/>
              </w:rPr>
              <w:t>C369N</w:t>
            </w:r>
            <w:r w:rsidR="007C3458" w:rsidRPr="00CD50DD">
              <w:rPr>
                <w:sz w:val="20"/>
                <w:szCs w:val="20"/>
              </w:rPr>
              <w:t>;</w:t>
            </w:r>
            <w:proofErr w:type="gramEnd"/>
            <w:r w:rsidR="007C3458" w:rsidRPr="00CD50DD">
              <w:rPr>
                <w:sz w:val="20"/>
                <w:szCs w:val="20"/>
              </w:rPr>
              <w:t xml:space="preserve"> (b) </w:t>
            </w:r>
            <w:r w:rsidR="00CD50DD" w:rsidRPr="00CD50DD">
              <w:rPr>
                <w:sz w:val="20"/>
                <w:szCs w:val="20"/>
              </w:rPr>
              <w:t>test in situ presso la Torre intitolata ai caduti del secondo conflitto mondiale (Torricella Peligna, CH)</w:t>
            </w:r>
          </w:p>
        </w:tc>
      </w:tr>
      <w:tr w:rsidR="00E13736" w:rsidRPr="00012ACF" w14:paraId="1AD9BE92" w14:textId="77777777" w:rsidTr="00F31078">
        <w:trPr>
          <w:trHeight w:val="1120"/>
        </w:trPr>
        <w:tc>
          <w:tcPr>
            <w:tcW w:w="9856" w:type="dxa"/>
          </w:tcPr>
          <w:p w14:paraId="0F98A60D" w14:textId="77777777" w:rsidR="00931242" w:rsidRPr="004D7183" w:rsidRDefault="00931242" w:rsidP="00F31078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  <w:p w14:paraId="55BD42E1" w14:textId="63A6C321" w:rsidR="00E13736" w:rsidRPr="006837E5" w:rsidRDefault="00E13736" w:rsidP="00F31078">
            <w:pPr>
              <w:pStyle w:val="TableParagraph"/>
              <w:spacing w:line="275" w:lineRule="exact"/>
              <w:rPr>
                <w:b/>
                <w:sz w:val="24"/>
                <w:lang w:val="en-US"/>
              </w:rPr>
            </w:pPr>
            <w:r w:rsidRPr="006837E5">
              <w:rPr>
                <w:b/>
                <w:sz w:val="24"/>
                <w:lang w:val="en-US"/>
              </w:rPr>
              <w:t>MAGGIORI INFORMAZIONI:</w:t>
            </w:r>
          </w:p>
          <w:p w14:paraId="297C90E5" w14:textId="3D3776CE" w:rsidR="00A04E86" w:rsidRDefault="00A04E86" w:rsidP="00A04E86">
            <w:pPr>
              <w:pStyle w:val="TableParagraph"/>
              <w:spacing w:before="20" w:line="274" w:lineRule="exact"/>
              <w:ind w:left="37" w:right="98"/>
              <w:rPr>
                <w:sz w:val="20"/>
                <w:szCs w:val="20"/>
                <w:lang w:val="en-US"/>
              </w:rPr>
            </w:pPr>
            <w:r w:rsidRPr="00A04E86">
              <w:rPr>
                <w:sz w:val="20"/>
                <w:szCs w:val="20"/>
                <w:lang w:val="en-US"/>
              </w:rPr>
              <w:t>- BS 1881-203 Testing Concrete - Part 203: Recommendations for Measurement of Velocity of Ultrasonic Pulses in Concrete</w:t>
            </w:r>
          </w:p>
          <w:p w14:paraId="2EE92E90" w14:textId="5ADB7979" w:rsidR="00311558" w:rsidRDefault="00311558" w:rsidP="00A04E86">
            <w:pPr>
              <w:pStyle w:val="TableParagraph"/>
              <w:spacing w:before="20" w:line="274" w:lineRule="exact"/>
              <w:ind w:left="37" w:right="98"/>
              <w:rPr>
                <w:sz w:val="20"/>
                <w:szCs w:val="20"/>
              </w:rPr>
            </w:pPr>
            <w:r w:rsidRPr="00311558">
              <w:rPr>
                <w:sz w:val="20"/>
                <w:szCs w:val="20"/>
              </w:rPr>
              <w:t>- UNI EN 12504-4:2005 Prove sul calcestruzzo nelle strutture - Parte 4: Determinazione della velocità di propagazione degli impulsi ultrasonici</w:t>
            </w:r>
            <w:r>
              <w:rPr>
                <w:sz w:val="20"/>
                <w:szCs w:val="20"/>
              </w:rPr>
              <w:t>;</w:t>
            </w:r>
          </w:p>
          <w:p w14:paraId="30CFFF8F" w14:textId="0EF4C422" w:rsidR="00311558" w:rsidRPr="00311558" w:rsidRDefault="00311558" w:rsidP="00311558">
            <w:pPr>
              <w:pStyle w:val="TableParagraph"/>
              <w:spacing w:before="20" w:line="274" w:lineRule="exact"/>
              <w:ind w:left="37" w:right="98"/>
              <w:rPr>
                <w:sz w:val="20"/>
                <w:szCs w:val="20"/>
                <w:lang w:val="en-US"/>
              </w:rPr>
            </w:pPr>
            <w:r w:rsidRPr="00311558">
              <w:rPr>
                <w:sz w:val="20"/>
                <w:szCs w:val="20"/>
                <w:lang w:val="en-US"/>
              </w:rPr>
              <w:t>-</w:t>
            </w:r>
            <w:r w:rsidRPr="00311558">
              <w:rPr>
                <w:lang w:val="en-US"/>
              </w:rPr>
              <w:t xml:space="preserve"> </w:t>
            </w:r>
            <w:r w:rsidRPr="00311558">
              <w:rPr>
                <w:sz w:val="20"/>
                <w:szCs w:val="20"/>
                <w:lang w:val="en-US"/>
              </w:rPr>
              <w:t>ASTM C597 – 16 Standard Test Method for Pulse Velocity Through Concrete</w:t>
            </w:r>
          </w:p>
          <w:p w14:paraId="049A8D06" w14:textId="1E153985" w:rsidR="00877868" w:rsidRPr="00E757B6" w:rsidRDefault="007D4C03" w:rsidP="007D4C03">
            <w:pPr>
              <w:pStyle w:val="TableParagraph"/>
              <w:spacing w:before="20" w:line="274" w:lineRule="exact"/>
              <w:ind w:left="37" w:right="98"/>
              <w:rPr>
                <w:sz w:val="20"/>
                <w:szCs w:val="20"/>
              </w:rPr>
            </w:pPr>
            <w:r w:rsidRPr="00A04E86">
              <w:rPr>
                <w:sz w:val="20"/>
                <w:szCs w:val="20"/>
              </w:rPr>
              <w:t xml:space="preserve">-M. T. A. Silva, J. H. A. Rocha, E. C. B. </w:t>
            </w:r>
            <w:proofErr w:type="gramStart"/>
            <w:r w:rsidRPr="00A04E86">
              <w:rPr>
                <w:sz w:val="20"/>
                <w:szCs w:val="20"/>
              </w:rPr>
              <w:t>Monteiro ,</w:t>
            </w:r>
            <w:proofErr w:type="gramEnd"/>
            <w:r w:rsidRPr="00A04E86">
              <w:rPr>
                <w:sz w:val="20"/>
                <w:szCs w:val="20"/>
              </w:rPr>
              <w:t xml:space="preserve"> Y. V. </w:t>
            </w:r>
            <w:proofErr w:type="spellStart"/>
            <w:r w:rsidRPr="00A04E86">
              <w:rPr>
                <w:sz w:val="20"/>
                <w:szCs w:val="20"/>
              </w:rPr>
              <w:t>Póvoas</w:t>
            </w:r>
            <w:proofErr w:type="spellEnd"/>
            <w:r w:rsidRPr="00A04E86">
              <w:rPr>
                <w:sz w:val="20"/>
                <w:szCs w:val="20"/>
              </w:rPr>
              <w:t xml:space="preserve"> , E. R. </w:t>
            </w:r>
            <w:proofErr w:type="spellStart"/>
            <w:r w:rsidRPr="00A04E86">
              <w:rPr>
                <w:sz w:val="20"/>
                <w:szCs w:val="20"/>
              </w:rPr>
              <w:t>Kohlman</w:t>
            </w:r>
            <w:proofErr w:type="spellEnd"/>
            <w:r w:rsidRPr="00A04E86">
              <w:rPr>
                <w:sz w:val="20"/>
                <w:szCs w:val="20"/>
              </w:rPr>
              <w:t xml:space="preserve"> </w:t>
            </w:r>
            <w:proofErr w:type="spellStart"/>
            <w:r w:rsidRPr="00A04E86">
              <w:rPr>
                <w:sz w:val="20"/>
                <w:szCs w:val="20"/>
              </w:rPr>
              <w:t>Rabbani</w:t>
            </w:r>
            <w:proofErr w:type="spellEnd"/>
            <w:r w:rsidRPr="00A04E86">
              <w:rPr>
                <w:sz w:val="20"/>
                <w:szCs w:val="20"/>
              </w:rPr>
              <w:t xml:space="preserve"> (2018.) </w:t>
            </w:r>
            <w:r w:rsidR="00695AAB" w:rsidRPr="007D4C03">
              <w:rPr>
                <w:sz w:val="20"/>
                <w:szCs w:val="20"/>
                <w:lang w:val="en-US"/>
              </w:rPr>
              <w:t>Evaluation of the ultrasound test for estimating the depth of cracks in concrete</w:t>
            </w:r>
            <w:r w:rsidRPr="007D4C03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12ACF">
              <w:rPr>
                <w:i/>
                <w:sz w:val="20"/>
                <w:szCs w:val="20"/>
              </w:rPr>
              <w:t>Revista</w:t>
            </w:r>
            <w:proofErr w:type="spellEnd"/>
            <w:r w:rsidRPr="00012ACF">
              <w:rPr>
                <w:i/>
                <w:sz w:val="20"/>
                <w:szCs w:val="20"/>
              </w:rPr>
              <w:t xml:space="preserve"> ALCONPAT</w:t>
            </w:r>
            <w:r w:rsidRPr="00E757B6">
              <w:rPr>
                <w:sz w:val="20"/>
                <w:szCs w:val="20"/>
              </w:rPr>
              <w:t xml:space="preserve">, 9 (1), pp. 79–92, DOI: </w:t>
            </w:r>
            <w:hyperlink r:id="rId10" w:history="1">
              <w:r w:rsidRPr="00E757B6">
                <w:t>http://dx.doi.org/10.21041/ra.v9i1.289</w:t>
              </w:r>
            </w:hyperlink>
          </w:p>
          <w:p w14:paraId="499FACBD" w14:textId="7E254DFC" w:rsidR="007D4C03" w:rsidRDefault="00E757B6" w:rsidP="00E757B6">
            <w:pPr>
              <w:pStyle w:val="TableParagraph"/>
              <w:spacing w:before="20" w:line="274" w:lineRule="exact"/>
              <w:ind w:left="37" w:right="9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r w:rsidR="007D4C03" w:rsidRPr="00E757B6">
              <w:rPr>
                <w:sz w:val="20"/>
                <w:szCs w:val="20"/>
                <w:lang w:val="en-US"/>
              </w:rPr>
              <w:t xml:space="preserve">Wahyu </w:t>
            </w:r>
            <w:proofErr w:type="spellStart"/>
            <w:r w:rsidR="007D4C03" w:rsidRPr="00E757B6">
              <w:rPr>
                <w:sz w:val="20"/>
                <w:szCs w:val="20"/>
                <w:lang w:val="en-US"/>
              </w:rPr>
              <w:t>Wuryanti</w:t>
            </w:r>
            <w:proofErr w:type="spellEnd"/>
            <w:r w:rsidR="007D4C03" w:rsidRPr="00E757B6">
              <w:rPr>
                <w:sz w:val="20"/>
                <w:szCs w:val="20"/>
                <w:lang w:val="en-US"/>
              </w:rPr>
              <w:t xml:space="preserve"> </w:t>
            </w:r>
            <w:r w:rsidRPr="00E757B6">
              <w:rPr>
                <w:sz w:val="20"/>
                <w:szCs w:val="20"/>
                <w:lang w:val="en-US"/>
              </w:rPr>
              <w:t xml:space="preserve">(2019). </w:t>
            </w:r>
            <w:r w:rsidR="007D4C03" w:rsidRPr="00E757B6">
              <w:rPr>
                <w:sz w:val="20"/>
                <w:szCs w:val="20"/>
                <w:lang w:val="en-US"/>
              </w:rPr>
              <w:t>Determination residual strength concrete of post-fire using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7D4C03" w:rsidRPr="007D4C03">
              <w:rPr>
                <w:sz w:val="20"/>
                <w:szCs w:val="20"/>
                <w:lang w:val="en-US"/>
              </w:rPr>
              <w:t>ultrasonic pulse velocity</w:t>
            </w:r>
            <w:r w:rsidR="00012ACF">
              <w:rPr>
                <w:sz w:val="20"/>
                <w:szCs w:val="20"/>
                <w:lang w:val="en-US"/>
              </w:rPr>
              <w:t>.</w:t>
            </w:r>
            <w:r w:rsidR="007D4C03" w:rsidRPr="00E757B6">
              <w:rPr>
                <w:sz w:val="20"/>
                <w:szCs w:val="20"/>
                <w:lang w:val="en-US"/>
              </w:rPr>
              <w:t xml:space="preserve"> </w:t>
            </w:r>
            <w:r w:rsidR="007D4C03" w:rsidRPr="00012ACF">
              <w:rPr>
                <w:i/>
                <w:sz w:val="20"/>
                <w:szCs w:val="20"/>
                <w:lang w:val="en-US"/>
              </w:rPr>
              <w:t>IOP Conf. Series: Materials Science and Engineering</w:t>
            </w:r>
            <w:r w:rsidR="007D4C03" w:rsidRPr="00E757B6">
              <w:rPr>
                <w:sz w:val="20"/>
                <w:szCs w:val="20"/>
                <w:lang w:val="en-US"/>
              </w:rPr>
              <w:t xml:space="preserve"> 620 (2019) 012064</w:t>
            </w:r>
            <w:r w:rsidRPr="00E757B6">
              <w:rPr>
                <w:sz w:val="20"/>
                <w:szCs w:val="20"/>
                <w:lang w:val="en-US"/>
              </w:rPr>
              <w:t xml:space="preserve"> doi:10.1088/1757-899X/620/1/012064</w:t>
            </w:r>
          </w:p>
          <w:p w14:paraId="3B3A4DF3" w14:textId="33AD77FC" w:rsidR="00012ACF" w:rsidRPr="00CF2093" w:rsidRDefault="00012ACF" w:rsidP="00012ACF">
            <w:pPr>
              <w:pStyle w:val="TableParagraph"/>
              <w:spacing w:before="20" w:line="274" w:lineRule="exact"/>
              <w:ind w:left="37" w:right="98"/>
              <w:rPr>
                <w:sz w:val="20"/>
                <w:szCs w:val="20"/>
              </w:rPr>
            </w:pPr>
            <w:r w:rsidRPr="00CF2093">
              <w:rPr>
                <w:sz w:val="20"/>
                <w:szCs w:val="20"/>
              </w:rPr>
              <w:t xml:space="preserve">-Piotr </w:t>
            </w:r>
            <w:proofErr w:type="spellStart"/>
            <w:r w:rsidRPr="00CF2093">
              <w:rPr>
                <w:sz w:val="20"/>
                <w:szCs w:val="20"/>
              </w:rPr>
              <w:t>Wiciaka</w:t>
            </w:r>
            <w:proofErr w:type="spellEnd"/>
            <w:r w:rsidRPr="00CF2093">
              <w:rPr>
                <w:sz w:val="20"/>
                <w:szCs w:val="20"/>
              </w:rPr>
              <w:t xml:space="preserve">, Giovanni Cascante, Maria Anna </w:t>
            </w:r>
            <w:proofErr w:type="spellStart"/>
            <w:proofErr w:type="gramStart"/>
            <w:r w:rsidRPr="00CF2093">
              <w:rPr>
                <w:sz w:val="20"/>
                <w:szCs w:val="20"/>
              </w:rPr>
              <w:t>Polak</w:t>
            </w:r>
            <w:proofErr w:type="spellEnd"/>
            <w:r w:rsidRPr="00CF2093">
              <w:rPr>
                <w:sz w:val="20"/>
                <w:szCs w:val="20"/>
              </w:rPr>
              <w:t xml:space="preserve">  Sensor</w:t>
            </w:r>
            <w:proofErr w:type="gramEnd"/>
            <w:r w:rsidRPr="00CF2093">
              <w:rPr>
                <w:sz w:val="20"/>
                <w:szCs w:val="20"/>
              </w:rPr>
              <w:t xml:space="preserve"> and </w:t>
            </w:r>
            <w:proofErr w:type="spellStart"/>
            <w:r w:rsidRPr="00CF2093">
              <w:rPr>
                <w:sz w:val="20"/>
                <w:szCs w:val="20"/>
              </w:rPr>
              <w:t>dimensions</w:t>
            </w:r>
            <w:proofErr w:type="spellEnd"/>
            <w:r w:rsidRPr="00CF2093">
              <w:rPr>
                <w:sz w:val="20"/>
                <w:szCs w:val="20"/>
              </w:rPr>
              <w:t xml:space="preserve"> </w:t>
            </w:r>
            <w:proofErr w:type="spellStart"/>
            <w:r w:rsidRPr="00CF2093">
              <w:rPr>
                <w:sz w:val="20"/>
                <w:szCs w:val="20"/>
              </w:rPr>
              <w:t>effects</w:t>
            </w:r>
            <w:proofErr w:type="spellEnd"/>
            <w:r w:rsidRPr="00CF2093">
              <w:rPr>
                <w:sz w:val="20"/>
                <w:szCs w:val="20"/>
              </w:rPr>
              <w:t xml:space="preserve"> in </w:t>
            </w:r>
            <w:proofErr w:type="spellStart"/>
            <w:r w:rsidRPr="00CF2093">
              <w:rPr>
                <w:sz w:val="20"/>
                <w:szCs w:val="20"/>
              </w:rPr>
              <w:t>ultrasonic</w:t>
            </w:r>
            <w:proofErr w:type="spellEnd"/>
            <w:r w:rsidRPr="00CF2093">
              <w:rPr>
                <w:sz w:val="20"/>
                <w:szCs w:val="20"/>
              </w:rPr>
              <w:t xml:space="preserve"> </w:t>
            </w:r>
            <w:proofErr w:type="spellStart"/>
            <w:r w:rsidRPr="00CF2093">
              <w:rPr>
                <w:sz w:val="20"/>
                <w:szCs w:val="20"/>
              </w:rPr>
              <w:t>pulse</w:t>
            </w:r>
            <w:proofErr w:type="spellEnd"/>
            <w:r w:rsidRPr="00CF2093">
              <w:rPr>
                <w:sz w:val="20"/>
                <w:szCs w:val="20"/>
              </w:rPr>
              <w:t xml:space="preserve"> </w:t>
            </w:r>
            <w:proofErr w:type="spellStart"/>
            <w:r w:rsidRPr="00CF2093">
              <w:rPr>
                <w:sz w:val="20"/>
                <w:szCs w:val="20"/>
              </w:rPr>
              <w:t>velocity</w:t>
            </w:r>
            <w:proofErr w:type="spellEnd"/>
          </w:p>
          <w:p w14:paraId="0CDCFF57" w14:textId="41E2C507" w:rsidR="00012ACF" w:rsidRPr="00012ACF" w:rsidRDefault="00012ACF" w:rsidP="00012ACF">
            <w:pPr>
              <w:pStyle w:val="TableParagraph"/>
              <w:spacing w:before="20" w:line="274" w:lineRule="exact"/>
              <w:ind w:left="37" w:right="98"/>
              <w:rPr>
                <w:sz w:val="20"/>
                <w:szCs w:val="20"/>
                <w:lang w:val="en-US"/>
              </w:rPr>
            </w:pPr>
            <w:r w:rsidRPr="00012ACF">
              <w:rPr>
                <w:sz w:val="20"/>
                <w:szCs w:val="20"/>
                <w:lang w:val="en-US"/>
              </w:rPr>
              <w:t xml:space="preserve">measurements in mortar specimens. </w:t>
            </w:r>
            <w:r w:rsidRPr="00012ACF">
              <w:rPr>
                <w:i/>
                <w:sz w:val="20"/>
                <w:szCs w:val="20"/>
                <w:lang w:val="en-US"/>
              </w:rPr>
              <w:t>Procedia Engineering</w:t>
            </w:r>
            <w:r w:rsidRPr="00012ACF">
              <w:rPr>
                <w:sz w:val="20"/>
                <w:szCs w:val="20"/>
                <w:lang w:val="en-US"/>
              </w:rPr>
              <w:t xml:space="preserve"> 193 </w:t>
            </w:r>
            <w:proofErr w:type="gramStart"/>
            <w:r w:rsidRPr="00012ACF">
              <w:rPr>
                <w:sz w:val="20"/>
                <w:szCs w:val="20"/>
                <w:lang w:val="en-US"/>
              </w:rPr>
              <w:t>( 2017</w:t>
            </w:r>
            <w:proofErr w:type="gramEnd"/>
            <w:r w:rsidRPr="00012ACF">
              <w:rPr>
                <w:sz w:val="20"/>
                <w:szCs w:val="20"/>
                <w:lang w:val="en-US"/>
              </w:rPr>
              <w:t xml:space="preserve"> ) 409 – 416</w:t>
            </w:r>
          </w:p>
          <w:p w14:paraId="0C8664E8" w14:textId="687BF1F1" w:rsidR="00E757B6" w:rsidRPr="00012ACF" w:rsidRDefault="00012ACF" w:rsidP="00012ACF">
            <w:pPr>
              <w:pStyle w:val="TableParagraph"/>
              <w:spacing w:before="20" w:line="274" w:lineRule="exact"/>
              <w:ind w:left="37" w:right="9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  <w:r w:rsidR="00311558" w:rsidRPr="00012ACF">
              <w:rPr>
                <w:sz w:val="20"/>
                <w:szCs w:val="20"/>
              </w:rPr>
              <w:t>Ana P. Ferreira Pinto, José Delga</w:t>
            </w:r>
            <w:r w:rsidRPr="00012ACF">
              <w:rPr>
                <w:sz w:val="20"/>
                <w:szCs w:val="20"/>
              </w:rPr>
              <w:t>d</w:t>
            </w:r>
            <w:r w:rsidR="00311558" w:rsidRPr="00012ACF">
              <w:rPr>
                <w:sz w:val="20"/>
                <w:szCs w:val="20"/>
              </w:rPr>
              <w:t>o Rodrigues</w:t>
            </w:r>
            <w:r w:rsidRPr="00012ACF">
              <w:rPr>
                <w:sz w:val="20"/>
                <w:szCs w:val="20"/>
              </w:rPr>
              <w:t xml:space="preserve"> (2012). </w:t>
            </w:r>
            <w:r w:rsidRPr="00012ACF">
              <w:rPr>
                <w:sz w:val="20"/>
                <w:szCs w:val="20"/>
                <w:lang w:val="en-US"/>
              </w:rPr>
              <w:t>Consolidation of carbonate stones: Influence of treatment procedures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012ACF">
              <w:rPr>
                <w:sz w:val="20"/>
                <w:szCs w:val="20"/>
                <w:lang w:val="en-US"/>
              </w:rPr>
              <w:t xml:space="preserve">on the strengthening action of </w:t>
            </w:r>
            <w:proofErr w:type="spellStart"/>
            <w:r w:rsidRPr="00012ACF">
              <w:rPr>
                <w:sz w:val="20"/>
                <w:szCs w:val="20"/>
                <w:lang w:val="en-US"/>
              </w:rPr>
              <w:t>consolidants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r w:rsidRPr="00012ACF">
              <w:rPr>
                <w:i/>
                <w:sz w:val="20"/>
                <w:szCs w:val="20"/>
                <w:lang w:val="en-US"/>
              </w:rPr>
              <w:t>Journal of Cultural Heritage</w:t>
            </w:r>
            <w:r w:rsidRPr="00012ACF">
              <w:rPr>
                <w:sz w:val="20"/>
                <w:szCs w:val="20"/>
                <w:lang w:val="en-US"/>
              </w:rPr>
              <w:t xml:space="preserve"> 13 (2012) 154–166</w:t>
            </w:r>
          </w:p>
        </w:tc>
      </w:tr>
    </w:tbl>
    <w:p w14:paraId="2E70B9E9" w14:textId="77777777" w:rsidR="00E13736" w:rsidRPr="00012ACF" w:rsidRDefault="00E13736" w:rsidP="00E13736">
      <w:pPr>
        <w:spacing w:before="56"/>
        <w:rPr>
          <w:lang w:val="en-US"/>
        </w:rPr>
      </w:pPr>
    </w:p>
    <w:p w14:paraId="3598F570" w14:textId="37C8691C" w:rsidR="00E13736" w:rsidRDefault="00E13736" w:rsidP="00E13736">
      <w:pPr>
        <w:spacing w:before="56"/>
      </w:pPr>
      <w:r w:rsidRPr="00F214A1">
        <w:t xml:space="preserve">Referente: </w:t>
      </w:r>
      <w:r w:rsidR="00012ACF">
        <w:t xml:space="preserve">Silvia </w:t>
      </w:r>
      <w:proofErr w:type="spellStart"/>
      <w:r w:rsidR="00012ACF">
        <w:t>Rescic</w:t>
      </w:r>
      <w:proofErr w:type="spellEnd"/>
      <w:r w:rsidR="007C3458">
        <w:t xml:space="preserve"> </w:t>
      </w:r>
      <w:r w:rsidRPr="00F214A1">
        <w:t>(</w:t>
      </w:r>
      <w:hyperlink r:id="rId11" w:history="1">
        <w:r w:rsidR="00012ACF" w:rsidRPr="00E31A49">
          <w:rPr>
            <w:rStyle w:val="Collegamentoipertestuale"/>
          </w:rPr>
          <w:t>silvia.rescic@cnr.it</w:t>
        </w:r>
      </w:hyperlink>
      <w:r w:rsidRPr="00F214A1">
        <w:t>)</w:t>
      </w:r>
    </w:p>
    <w:p w14:paraId="10E52175" w14:textId="77777777" w:rsidR="0003270E" w:rsidRDefault="0003270E" w:rsidP="00E13736">
      <w:pPr>
        <w:spacing w:before="56"/>
      </w:pPr>
    </w:p>
    <w:p w14:paraId="6634D916" w14:textId="77777777" w:rsidR="0003270E" w:rsidRDefault="0003270E" w:rsidP="00E13736">
      <w:pPr>
        <w:spacing w:before="56"/>
      </w:pPr>
    </w:p>
    <w:p w14:paraId="1479003B" w14:textId="1CB24B07" w:rsidR="0003270E" w:rsidRPr="00F214A1" w:rsidRDefault="0003270E" w:rsidP="00E13736">
      <w:pPr>
        <w:spacing w:before="56"/>
      </w:pPr>
    </w:p>
    <w:p w14:paraId="2E411C67" w14:textId="77777777" w:rsidR="00090689" w:rsidRDefault="004D7183"/>
    <w:sectPr w:rsidR="00090689">
      <w:pgSz w:w="11910" w:h="16840"/>
      <w:pgMar w:top="14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4C7"/>
    <w:multiLevelType w:val="hybridMultilevel"/>
    <w:tmpl w:val="DA56B15E"/>
    <w:lvl w:ilvl="0" w:tplc="E0720A8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D166F3AA">
      <w:numFmt w:val="bullet"/>
      <w:lvlText w:val="•"/>
      <w:lvlJc w:val="left"/>
      <w:pPr>
        <w:ind w:left="1722" w:hanging="360"/>
      </w:pPr>
      <w:rPr>
        <w:rFonts w:hint="default"/>
        <w:lang w:val="it-IT" w:eastAsia="it-IT" w:bidi="it-IT"/>
      </w:rPr>
    </w:lvl>
    <w:lvl w:ilvl="2" w:tplc="7E26EBB4">
      <w:numFmt w:val="bullet"/>
      <w:lvlText w:val="•"/>
      <w:lvlJc w:val="left"/>
      <w:pPr>
        <w:ind w:left="2625" w:hanging="360"/>
      </w:pPr>
      <w:rPr>
        <w:rFonts w:hint="default"/>
        <w:lang w:val="it-IT" w:eastAsia="it-IT" w:bidi="it-IT"/>
      </w:rPr>
    </w:lvl>
    <w:lvl w:ilvl="3" w:tplc="212C1338">
      <w:numFmt w:val="bullet"/>
      <w:lvlText w:val="•"/>
      <w:lvlJc w:val="left"/>
      <w:pPr>
        <w:ind w:left="3527" w:hanging="360"/>
      </w:pPr>
      <w:rPr>
        <w:rFonts w:hint="default"/>
        <w:lang w:val="it-IT" w:eastAsia="it-IT" w:bidi="it-IT"/>
      </w:rPr>
    </w:lvl>
    <w:lvl w:ilvl="4" w:tplc="98B26590">
      <w:numFmt w:val="bullet"/>
      <w:lvlText w:val="•"/>
      <w:lvlJc w:val="left"/>
      <w:pPr>
        <w:ind w:left="4430" w:hanging="360"/>
      </w:pPr>
      <w:rPr>
        <w:rFonts w:hint="default"/>
        <w:lang w:val="it-IT" w:eastAsia="it-IT" w:bidi="it-IT"/>
      </w:rPr>
    </w:lvl>
    <w:lvl w:ilvl="5" w:tplc="C79ADF70">
      <w:numFmt w:val="bullet"/>
      <w:lvlText w:val="•"/>
      <w:lvlJc w:val="left"/>
      <w:pPr>
        <w:ind w:left="5333" w:hanging="360"/>
      </w:pPr>
      <w:rPr>
        <w:rFonts w:hint="default"/>
        <w:lang w:val="it-IT" w:eastAsia="it-IT" w:bidi="it-IT"/>
      </w:rPr>
    </w:lvl>
    <w:lvl w:ilvl="6" w:tplc="6DCEE7E4">
      <w:numFmt w:val="bullet"/>
      <w:lvlText w:val="•"/>
      <w:lvlJc w:val="left"/>
      <w:pPr>
        <w:ind w:left="6235" w:hanging="360"/>
      </w:pPr>
      <w:rPr>
        <w:rFonts w:hint="default"/>
        <w:lang w:val="it-IT" w:eastAsia="it-IT" w:bidi="it-IT"/>
      </w:rPr>
    </w:lvl>
    <w:lvl w:ilvl="7" w:tplc="D7D0CBE4">
      <w:numFmt w:val="bullet"/>
      <w:lvlText w:val="•"/>
      <w:lvlJc w:val="left"/>
      <w:pPr>
        <w:ind w:left="7138" w:hanging="360"/>
      </w:pPr>
      <w:rPr>
        <w:rFonts w:hint="default"/>
        <w:lang w:val="it-IT" w:eastAsia="it-IT" w:bidi="it-IT"/>
      </w:rPr>
    </w:lvl>
    <w:lvl w:ilvl="8" w:tplc="93C45780">
      <w:numFmt w:val="bullet"/>
      <w:lvlText w:val="•"/>
      <w:lvlJc w:val="left"/>
      <w:pPr>
        <w:ind w:left="8040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736"/>
    <w:rsid w:val="00012ACF"/>
    <w:rsid w:val="0003270E"/>
    <w:rsid w:val="001010F5"/>
    <w:rsid w:val="00190EED"/>
    <w:rsid w:val="001C7567"/>
    <w:rsid w:val="001D7AC4"/>
    <w:rsid w:val="00311558"/>
    <w:rsid w:val="00321C94"/>
    <w:rsid w:val="0034241D"/>
    <w:rsid w:val="00350526"/>
    <w:rsid w:val="0038580E"/>
    <w:rsid w:val="003F153B"/>
    <w:rsid w:val="0040360C"/>
    <w:rsid w:val="004279A0"/>
    <w:rsid w:val="004C7D35"/>
    <w:rsid w:val="004D7183"/>
    <w:rsid w:val="004E0249"/>
    <w:rsid w:val="0053442B"/>
    <w:rsid w:val="005C5746"/>
    <w:rsid w:val="006837E5"/>
    <w:rsid w:val="00695AAB"/>
    <w:rsid w:val="007A2C00"/>
    <w:rsid w:val="007C3458"/>
    <w:rsid w:val="007D369A"/>
    <w:rsid w:val="007D4C03"/>
    <w:rsid w:val="007E54D3"/>
    <w:rsid w:val="008655A6"/>
    <w:rsid w:val="00877868"/>
    <w:rsid w:val="00931242"/>
    <w:rsid w:val="0093228C"/>
    <w:rsid w:val="00957771"/>
    <w:rsid w:val="009E6F24"/>
    <w:rsid w:val="00A04E86"/>
    <w:rsid w:val="00C22029"/>
    <w:rsid w:val="00C31786"/>
    <w:rsid w:val="00C46E7D"/>
    <w:rsid w:val="00CD2B29"/>
    <w:rsid w:val="00CD50DD"/>
    <w:rsid w:val="00CF2093"/>
    <w:rsid w:val="00DE352B"/>
    <w:rsid w:val="00DF30D9"/>
    <w:rsid w:val="00E13736"/>
    <w:rsid w:val="00E34614"/>
    <w:rsid w:val="00E757B6"/>
    <w:rsid w:val="00F57899"/>
    <w:rsid w:val="00F8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664B"/>
  <w15:docId w15:val="{A45AEFA8-6281-446F-A8C9-BD42CB9C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37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E13736"/>
    <w:pPr>
      <w:ind w:left="107"/>
    </w:pPr>
  </w:style>
  <w:style w:type="paragraph" w:styleId="Paragrafoelenco">
    <w:name w:val="List Paragraph"/>
    <w:basedOn w:val="Normale"/>
    <w:uiPriority w:val="34"/>
    <w:qFormat/>
    <w:rsid w:val="00E137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0E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0EED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customStyle="1" w:styleId="hlfld-contribauthor">
    <w:name w:val="hlfld-contribauthor"/>
    <w:basedOn w:val="Carpredefinitoparagrafo"/>
    <w:rsid w:val="00877868"/>
  </w:style>
  <w:style w:type="character" w:customStyle="1" w:styleId="nlmgiven-names">
    <w:name w:val="nlm_given-names"/>
    <w:basedOn w:val="Carpredefinitoparagrafo"/>
    <w:rsid w:val="00877868"/>
  </w:style>
  <w:style w:type="character" w:customStyle="1" w:styleId="nlmyear">
    <w:name w:val="nlm_year"/>
    <w:basedOn w:val="Carpredefinitoparagrafo"/>
    <w:rsid w:val="00877868"/>
  </w:style>
  <w:style w:type="character" w:customStyle="1" w:styleId="nlmarticle-title">
    <w:name w:val="nlm_article-title"/>
    <w:basedOn w:val="Carpredefinitoparagrafo"/>
    <w:rsid w:val="00877868"/>
  </w:style>
  <w:style w:type="character" w:customStyle="1" w:styleId="nlmfpage">
    <w:name w:val="nlm_fpage"/>
    <w:basedOn w:val="Carpredefinitoparagrafo"/>
    <w:rsid w:val="00877868"/>
  </w:style>
  <w:style w:type="character" w:customStyle="1" w:styleId="nlmlpage">
    <w:name w:val="nlm_lpage"/>
    <w:basedOn w:val="Carpredefinitoparagrafo"/>
    <w:rsid w:val="00877868"/>
  </w:style>
  <w:style w:type="character" w:styleId="Collegamentoipertestuale">
    <w:name w:val="Hyperlink"/>
    <w:basedOn w:val="Carpredefinitoparagrafo"/>
    <w:uiPriority w:val="99"/>
    <w:unhideWhenUsed/>
    <w:rsid w:val="007D4C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ilvia.rescic@cnr.it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dx.doi.org/10.21041/ra.v9i1.28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Buti</dc:creator>
  <cp:lastModifiedBy>Elisabetta Andreassi</cp:lastModifiedBy>
  <cp:revision>17</cp:revision>
  <dcterms:created xsi:type="dcterms:W3CDTF">2021-03-04T11:45:00Z</dcterms:created>
  <dcterms:modified xsi:type="dcterms:W3CDTF">2022-02-23T12:01:00Z</dcterms:modified>
</cp:coreProperties>
</file>