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20"/>
      </w:tblGrid>
      <w:tr w:rsidR="000F114A" w:rsidRPr="00873C80" w14:paraId="04335123" w14:textId="77777777" w:rsidTr="00B55E7A">
        <w:tc>
          <w:tcPr>
            <w:tcW w:w="5000" w:type="pct"/>
          </w:tcPr>
          <w:p w14:paraId="7E00EA8E" w14:textId="618664DC" w:rsidR="000F114A" w:rsidRPr="00AF384B" w:rsidRDefault="00F3432F" w:rsidP="00B55E7A">
            <w:pPr>
              <w:jc w:val="center"/>
              <w:rPr>
                <w:b/>
                <w:bCs/>
                <w:lang w:val="it-IT"/>
              </w:rPr>
            </w:pPr>
            <w:r w:rsidRPr="00AF384B">
              <w:rPr>
                <w:b/>
                <w:bCs/>
                <w:lang w:val="it-IT"/>
              </w:rPr>
              <w:t xml:space="preserve">STRUMENTAZIONE </w:t>
            </w:r>
            <w:r w:rsidR="00CD0DCE" w:rsidRPr="00AF384B">
              <w:rPr>
                <w:b/>
                <w:bCs/>
                <w:lang w:val="it-IT"/>
              </w:rPr>
              <w:t>MO</w:t>
            </w:r>
            <w:r w:rsidR="00F3421F" w:rsidRPr="00AF384B">
              <w:rPr>
                <w:b/>
                <w:bCs/>
                <w:lang w:val="it-IT"/>
              </w:rPr>
              <w:t>LAB: MICRO-</w:t>
            </w:r>
            <w:r w:rsidR="00166540" w:rsidRPr="00AF384B">
              <w:rPr>
                <w:b/>
                <w:bCs/>
                <w:lang w:val="it-IT"/>
              </w:rPr>
              <w:t xml:space="preserve">XRF </w:t>
            </w:r>
            <w:r w:rsidRPr="00AF384B">
              <w:rPr>
                <w:b/>
                <w:bCs/>
                <w:lang w:val="it-IT"/>
              </w:rPr>
              <w:t xml:space="preserve">MAPPING </w:t>
            </w:r>
          </w:p>
        </w:tc>
      </w:tr>
      <w:tr w:rsidR="00F3421F" w:rsidRPr="00873C80" w14:paraId="1B583F60" w14:textId="77777777" w:rsidTr="00B55E7A">
        <w:tc>
          <w:tcPr>
            <w:tcW w:w="5000" w:type="pct"/>
          </w:tcPr>
          <w:p w14:paraId="063ADDB6" w14:textId="0305E327" w:rsidR="00F3421F" w:rsidRPr="00AF384B" w:rsidRDefault="00F3421F" w:rsidP="00B55E7A">
            <w:pPr>
              <w:jc w:val="center"/>
              <w:rPr>
                <w:b/>
                <w:bCs/>
                <w:lang w:val="it-IT"/>
              </w:rPr>
            </w:pPr>
            <w:r w:rsidRPr="00AF384B">
              <w:rPr>
                <w:b/>
                <w:bCs/>
                <w:lang w:val="it-IT"/>
              </w:rPr>
              <w:t xml:space="preserve">LABORATORIO: </w:t>
            </w:r>
            <w:proofErr w:type="spellStart"/>
            <w:r w:rsidRPr="00AF384B">
              <w:rPr>
                <w:b/>
                <w:bCs/>
                <w:lang w:val="it-IT"/>
              </w:rPr>
              <w:t>XRAYLab</w:t>
            </w:r>
            <w:proofErr w:type="spellEnd"/>
            <w:r w:rsidRPr="00AF384B">
              <w:rPr>
                <w:b/>
                <w:bCs/>
                <w:lang w:val="it-IT"/>
              </w:rPr>
              <w:t xml:space="preserve"> </w:t>
            </w:r>
            <w:r w:rsidR="00AF384B" w:rsidRPr="00AF384B">
              <w:rPr>
                <w:b/>
                <w:bCs/>
                <w:lang w:val="it-IT"/>
              </w:rPr>
              <w:t>di CNR-ISPC</w:t>
            </w:r>
          </w:p>
        </w:tc>
      </w:tr>
      <w:tr w:rsidR="00F3432F" w:rsidRPr="00873C80" w14:paraId="7518EEC1" w14:textId="77777777" w:rsidTr="00B55E7A">
        <w:tc>
          <w:tcPr>
            <w:tcW w:w="5000" w:type="pct"/>
          </w:tcPr>
          <w:p w14:paraId="3FBC4F75" w14:textId="77777777" w:rsidR="00F46B6B" w:rsidRPr="00AF384B" w:rsidRDefault="00F46B6B" w:rsidP="00F3432F">
            <w:pPr>
              <w:rPr>
                <w:b/>
                <w:bCs/>
                <w:lang w:val="it-IT"/>
              </w:rPr>
            </w:pPr>
          </w:p>
          <w:p w14:paraId="364107A2" w14:textId="77777777" w:rsidR="00F3432F" w:rsidRPr="00AF384B" w:rsidRDefault="00F3432F" w:rsidP="00F3432F">
            <w:pPr>
              <w:rPr>
                <w:b/>
                <w:bCs/>
                <w:lang w:val="it-IT"/>
              </w:rPr>
            </w:pPr>
            <w:r w:rsidRPr="00AF384B">
              <w:rPr>
                <w:b/>
                <w:bCs/>
                <w:lang w:val="it-IT"/>
              </w:rPr>
              <w:t xml:space="preserve">NOME STRUMENTO </w:t>
            </w:r>
          </w:p>
          <w:p w14:paraId="77CE9A4E" w14:textId="77777777" w:rsidR="00F3432F" w:rsidRPr="00F3421F" w:rsidRDefault="00F3432F" w:rsidP="00F3432F">
            <w:pPr>
              <w:rPr>
                <w:lang w:val="it-IT"/>
              </w:rPr>
            </w:pPr>
          </w:p>
          <w:p w14:paraId="4C0294FA" w14:textId="6FD1F0FC" w:rsidR="00F3432F" w:rsidRPr="00F3421F" w:rsidRDefault="00F3432F" w:rsidP="00F3432F">
            <w:pPr>
              <w:rPr>
                <w:lang w:val="it-IT"/>
              </w:rPr>
            </w:pPr>
            <w:r w:rsidRPr="00F3421F">
              <w:rPr>
                <w:lang w:val="it-IT"/>
              </w:rPr>
              <w:t xml:space="preserve">Scanner </w:t>
            </w:r>
            <w:r w:rsidR="00AF384B">
              <w:rPr>
                <w:lang w:val="it-IT"/>
              </w:rPr>
              <w:t>MICRO-</w:t>
            </w:r>
            <w:r w:rsidR="00166540" w:rsidRPr="00F3421F">
              <w:rPr>
                <w:lang w:val="it-IT"/>
              </w:rPr>
              <w:t>XRF</w:t>
            </w:r>
            <w:r w:rsidR="00F80DAF">
              <w:rPr>
                <w:lang w:val="it-IT"/>
              </w:rPr>
              <w:t xml:space="preserve"> </w:t>
            </w:r>
            <w:r w:rsidRPr="00F3421F">
              <w:rPr>
                <w:lang w:val="it-IT"/>
              </w:rPr>
              <w:t>sviluppato presso i</w:t>
            </w:r>
            <w:r w:rsidR="00F80DAF">
              <w:rPr>
                <w:lang w:val="it-IT"/>
              </w:rPr>
              <w:t xml:space="preserve">l </w:t>
            </w:r>
            <w:r w:rsidRPr="00F3421F">
              <w:rPr>
                <w:lang w:val="it-IT"/>
              </w:rPr>
              <w:t>laboratori</w:t>
            </w:r>
            <w:r w:rsidR="00F80DAF">
              <w:rPr>
                <w:lang w:val="it-IT"/>
              </w:rPr>
              <w:t xml:space="preserve">o </w:t>
            </w:r>
            <w:proofErr w:type="spellStart"/>
            <w:r w:rsidR="00F80DAF">
              <w:rPr>
                <w:lang w:val="it-IT"/>
              </w:rPr>
              <w:t>XRAYLab</w:t>
            </w:r>
            <w:proofErr w:type="spellEnd"/>
            <w:r w:rsidR="00F80DAF">
              <w:rPr>
                <w:lang w:val="it-IT"/>
              </w:rPr>
              <w:t xml:space="preserve"> di </w:t>
            </w:r>
            <w:r w:rsidR="00403412" w:rsidRPr="00F3421F">
              <w:rPr>
                <w:lang w:val="it-IT"/>
              </w:rPr>
              <w:t>CNR</w:t>
            </w:r>
            <w:r w:rsidR="00F80DAF">
              <w:rPr>
                <w:lang w:val="it-IT"/>
              </w:rPr>
              <w:t>-ISPC</w:t>
            </w:r>
          </w:p>
          <w:p w14:paraId="1A1A115D" w14:textId="77777777" w:rsidR="00F3432F" w:rsidRPr="00F3421F" w:rsidRDefault="00F3432F" w:rsidP="00F3432F">
            <w:pPr>
              <w:rPr>
                <w:lang w:val="it-IT"/>
              </w:rPr>
            </w:pPr>
          </w:p>
        </w:tc>
      </w:tr>
      <w:tr w:rsidR="000F114A" w:rsidRPr="00873C80" w14:paraId="39113603" w14:textId="77777777" w:rsidTr="00B55E7A">
        <w:tc>
          <w:tcPr>
            <w:tcW w:w="5000" w:type="pct"/>
          </w:tcPr>
          <w:p w14:paraId="588C5760" w14:textId="77777777" w:rsidR="00A07AD2" w:rsidRPr="00F3421F" w:rsidRDefault="00A07AD2">
            <w:pPr>
              <w:rPr>
                <w:lang w:val="it-IT"/>
              </w:rPr>
            </w:pPr>
          </w:p>
          <w:p w14:paraId="1B00E20F" w14:textId="77777777" w:rsidR="000F114A" w:rsidRPr="00F80DAF" w:rsidRDefault="00BE2B44">
            <w:pPr>
              <w:rPr>
                <w:b/>
                <w:bCs/>
                <w:lang w:val="it-IT"/>
              </w:rPr>
            </w:pPr>
            <w:r w:rsidRPr="00F80DAF">
              <w:rPr>
                <w:b/>
                <w:bCs/>
                <w:lang w:val="it-IT"/>
              </w:rPr>
              <w:t>INFORMAZIONI GENERALI</w:t>
            </w:r>
          </w:p>
          <w:p w14:paraId="5A5C1261" w14:textId="77777777" w:rsidR="00403412" w:rsidRPr="00F3421F" w:rsidRDefault="00403412">
            <w:pPr>
              <w:rPr>
                <w:lang w:val="it-IT"/>
              </w:rPr>
            </w:pPr>
          </w:p>
          <w:p w14:paraId="75664E7F" w14:textId="775DF245" w:rsidR="00E47D10" w:rsidRPr="00F3421F" w:rsidRDefault="00403412" w:rsidP="005D73E0">
            <w:pPr>
              <w:spacing w:line="276" w:lineRule="auto"/>
              <w:jc w:val="both"/>
              <w:rPr>
                <w:lang w:val="it-IT" w:eastAsia="it-IT"/>
              </w:rPr>
            </w:pPr>
            <w:r w:rsidRPr="00F3421F">
              <w:rPr>
                <w:lang w:val="it-IT" w:eastAsia="it-IT"/>
              </w:rPr>
              <w:t>La</w:t>
            </w:r>
            <w:r w:rsidR="00F80DAF">
              <w:rPr>
                <w:lang w:val="it-IT" w:eastAsia="it-IT"/>
              </w:rPr>
              <w:t xml:space="preserve"> micro-XRF </w:t>
            </w:r>
            <w:r w:rsidR="00F34724">
              <w:rPr>
                <w:lang w:val="it-IT" w:eastAsia="it-IT"/>
              </w:rPr>
              <w:t xml:space="preserve">mapping </w:t>
            </w:r>
            <w:r w:rsidR="00EA6F54" w:rsidRPr="00F3421F">
              <w:rPr>
                <w:lang w:val="it-IT"/>
              </w:rPr>
              <w:t xml:space="preserve">è una tecnica </w:t>
            </w:r>
            <w:r w:rsidRPr="00F3421F">
              <w:rPr>
                <w:lang w:val="it-IT"/>
              </w:rPr>
              <w:t xml:space="preserve">analitica </w:t>
            </w:r>
            <w:r w:rsidR="005D003E" w:rsidRPr="00F3421F">
              <w:rPr>
                <w:lang w:val="it-IT" w:eastAsia="it-IT"/>
              </w:rPr>
              <w:t>non</w:t>
            </w:r>
            <w:r w:rsidR="00F80DAF">
              <w:rPr>
                <w:lang w:val="it-IT" w:eastAsia="it-IT"/>
              </w:rPr>
              <w:t>-</w:t>
            </w:r>
            <w:r w:rsidR="005D003E" w:rsidRPr="00F3421F">
              <w:rPr>
                <w:lang w:val="it-IT" w:eastAsia="it-IT"/>
              </w:rPr>
              <w:t xml:space="preserve">distruttiva </w:t>
            </w:r>
            <w:r w:rsidR="00B17BB1" w:rsidRPr="00F3421F">
              <w:rPr>
                <w:lang w:val="it-IT" w:eastAsia="it-IT"/>
              </w:rPr>
              <w:t xml:space="preserve">basata sulla scansione </w:t>
            </w:r>
            <w:r w:rsidR="0043464D" w:rsidRPr="00F3421F">
              <w:rPr>
                <w:lang w:val="it-IT" w:eastAsia="it-IT"/>
              </w:rPr>
              <w:t xml:space="preserve">della </w:t>
            </w:r>
            <w:r w:rsidR="00B17BB1" w:rsidRPr="00F3421F">
              <w:rPr>
                <w:lang w:val="it-IT" w:eastAsia="it-IT"/>
              </w:rPr>
              <w:t xml:space="preserve">superficie del campione </w:t>
            </w:r>
            <w:r w:rsidR="005D003E" w:rsidRPr="00F3421F">
              <w:rPr>
                <w:lang w:val="it-IT" w:eastAsia="it-IT"/>
              </w:rPr>
              <w:t xml:space="preserve">impiegando un fascio di raggi X </w:t>
            </w:r>
            <w:r w:rsidR="00176B09">
              <w:rPr>
                <w:lang w:val="it-IT" w:eastAsia="it-IT"/>
              </w:rPr>
              <w:t xml:space="preserve">fortemente </w:t>
            </w:r>
            <w:r w:rsidR="00B17BB1" w:rsidRPr="00F3421F">
              <w:rPr>
                <w:lang w:val="it-IT" w:eastAsia="it-IT"/>
              </w:rPr>
              <w:t xml:space="preserve">focalizzato </w:t>
            </w:r>
            <w:r w:rsidR="00176B09">
              <w:rPr>
                <w:lang w:val="it-IT" w:eastAsia="it-IT"/>
              </w:rPr>
              <w:t xml:space="preserve">sulla scala </w:t>
            </w:r>
            <w:r w:rsidR="00E87152">
              <w:rPr>
                <w:lang w:val="it-IT" w:eastAsia="it-IT"/>
              </w:rPr>
              <w:t>m</w:t>
            </w:r>
            <w:r w:rsidR="00F80DAF">
              <w:rPr>
                <w:lang w:val="it-IT" w:eastAsia="it-IT"/>
              </w:rPr>
              <w:t>icrometric</w:t>
            </w:r>
            <w:r w:rsidR="00176B09">
              <w:rPr>
                <w:lang w:val="it-IT" w:eastAsia="it-IT"/>
              </w:rPr>
              <w:t>a</w:t>
            </w:r>
            <w:r w:rsidR="00F80DAF">
              <w:rPr>
                <w:lang w:val="it-IT" w:eastAsia="it-IT"/>
              </w:rPr>
              <w:t xml:space="preserve"> </w:t>
            </w:r>
            <w:r w:rsidR="00643008">
              <w:rPr>
                <w:lang w:val="it-IT" w:eastAsia="it-IT"/>
              </w:rPr>
              <w:t xml:space="preserve">che </w:t>
            </w:r>
            <w:r w:rsidR="00176B09">
              <w:rPr>
                <w:lang w:val="it-IT" w:eastAsia="it-IT"/>
              </w:rPr>
              <w:t xml:space="preserve">fornisce </w:t>
            </w:r>
            <w:r w:rsidR="005D003E" w:rsidRPr="00F3421F">
              <w:rPr>
                <w:lang w:val="it-IT" w:eastAsia="it-IT"/>
              </w:rPr>
              <w:t>le immagini</w:t>
            </w:r>
            <w:r w:rsidR="00E47D10" w:rsidRPr="00F3421F">
              <w:rPr>
                <w:lang w:val="it-IT" w:eastAsia="it-IT"/>
              </w:rPr>
              <w:t xml:space="preserve"> </w:t>
            </w:r>
            <w:r w:rsidR="00643008">
              <w:rPr>
                <w:lang w:val="it-IT" w:eastAsia="it-IT"/>
              </w:rPr>
              <w:t>delle distribuzioni elementali con elevat</w:t>
            </w:r>
            <w:r w:rsidR="00CE70BE">
              <w:rPr>
                <w:lang w:val="it-IT" w:eastAsia="it-IT"/>
              </w:rPr>
              <w:t>a</w:t>
            </w:r>
            <w:r w:rsidR="00643008">
              <w:rPr>
                <w:lang w:val="it-IT" w:eastAsia="it-IT"/>
              </w:rPr>
              <w:t xml:space="preserve"> risoluzione </w:t>
            </w:r>
            <w:r w:rsidR="00CE70BE">
              <w:rPr>
                <w:lang w:val="it-IT" w:eastAsia="it-IT"/>
              </w:rPr>
              <w:t>laterale</w:t>
            </w:r>
            <w:r w:rsidR="00B17BB1" w:rsidRPr="00F3421F">
              <w:rPr>
                <w:lang w:val="it-IT" w:eastAsia="it-IT"/>
              </w:rPr>
              <w:t xml:space="preserve">. </w:t>
            </w:r>
          </w:p>
          <w:p w14:paraId="7632EEA1" w14:textId="656E1322" w:rsidR="005B4C6B" w:rsidRDefault="005963DA" w:rsidP="005B4C6B">
            <w:pPr>
              <w:spacing w:line="276" w:lineRule="auto"/>
              <w:jc w:val="both"/>
              <w:rPr>
                <w:lang w:val="it-IT" w:eastAsia="it-IT"/>
              </w:rPr>
            </w:pPr>
            <w:r w:rsidRPr="00F3421F">
              <w:rPr>
                <w:lang w:val="it-IT" w:eastAsia="it-IT"/>
              </w:rPr>
              <w:t xml:space="preserve">La tecnica </w:t>
            </w:r>
            <w:r w:rsidR="00643008">
              <w:rPr>
                <w:lang w:val="it-IT"/>
              </w:rPr>
              <w:t>micro-</w:t>
            </w:r>
            <w:r w:rsidR="00E47D10" w:rsidRPr="00F3421F">
              <w:rPr>
                <w:lang w:val="it-IT"/>
              </w:rPr>
              <w:t>XRF</w:t>
            </w:r>
            <w:r w:rsidR="00B2457E" w:rsidRPr="00F3421F">
              <w:rPr>
                <w:lang w:val="it-IT"/>
              </w:rPr>
              <w:t xml:space="preserve"> </w:t>
            </w:r>
            <w:r w:rsidRPr="00F3421F">
              <w:rPr>
                <w:lang w:val="it-IT" w:eastAsia="it-IT"/>
              </w:rPr>
              <w:t>è non distruttiva</w:t>
            </w:r>
            <w:r w:rsidR="002E2D83">
              <w:rPr>
                <w:lang w:val="it-IT" w:eastAsia="it-IT"/>
              </w:rPr>
              <w:t xml:space="preserve">, </w:t>
            </w:r>
            <w:r w:rsidR="00DF08F6">
              <w:rPr>
                <w:lang w:val="it-IT" w:eastAsia="it-IT"/>
              </w:rPr>
              <w:t xml:space="preserve">può essere applicata in situ </w:t>
            </w:r>
            <w:r w:rsidRPr="00F3421F">
              <w:rPr>
                <w:lang w:val="it-IT" w:eastAsia="it-IT"/>
              </w:rPr>
              <w:t>e</w:t>
            </w:r>
            <w:r w:rsidR="00CE70BE">
              <w:rPr>
                <w:lang w:val="it-IT" w:eastAsia="it-IT"/>
              </w:rPr>
              <w:t>d</w:t>
            </w:r>
            <w:r w:rsidRPr="00F3421F">
              <w:rPr>
                <w:lang w:val="it-IT" w:eastAsia="it-IT"/>
              </w:rPr>
              <w:t xml:space="preserve"> </w:t>
            </w:r>
            <w:r w:rsidR="00CE70BE">
              <w:rPr>
                <w:lang w:val="it-IT" w:eastAsia="it-IT"/>
              </w:rPr>
              <w:t xml:space="preserve">è </w:t>
            </w:r>
            <w:r w:rsidRPr="00F3421F">
              <w:rPr>
                <w:lang w:val="it-IT" w:eastAsia="it-IT"/>
              </w:rPr>
              <w:t xml:space="preserve">indicata per </w:t>
            </w:r>
            <w:r w:rsidR="00CE70BE">
              <w:rPr>
                <w:lang w:val="it-IT" w:eastAsia="it-IT"/>
              </w:rPr>
              <w:t>tu</w:t>
            </w:r>
            <w:r w:rsidR="00DF08F6">
              <w:rPr>
                <w:lang w:val="it-IT" w:eastAsia="it-IT"/>
              </w:rPr>
              <w:t xml:space="preserve">tte </w:t>
            </w:r>
            <w:r w:rsidR="002E2D83">
              <w:rPr>
                <w:lang w:val="it-IT" w:eastAsia="it-IT"/>
              </w:rPr>
              <w:t>quel</w:t>
            </w:r>
            <w:r w:rsidR="00DF08F6">
              <w:rPr>
                <w:lang w:val="it-IT" w:eastAsia="it-IT"/>
              </w:rPr>
              <w:t>le a</w:t>
            </w:r>
            <w:r w:rsidR="00CE70BE">
              <w:rPr>
                <w:lang w:val="it-IT" w:eastAsia="it-IT"/>
              </w:rPr>
              <w:t xml:space="preserve">pplicazioni </w:t>
            </w:r>
            <w:r w:rsidR="00DF08F6">
              <w:rPr>
                <w:lang w:val="it-IT" w:eastAsia="it-IT"/>
              </w:rPr>
              <w:t xml:space="preserve">in cui </w:t>
            </w:r>
            <w:r w:rsidRPr="00F3421F">
              <w:rPr>
                <w:lang w:val="it-IT" w:eastAsia="it-IT"/>
              </w:rPr>
              <w:t xml:space="preserve">l’analisi </w:t>
            </w:r>
            <w:r w:rsidR="00C617B1">
              <w:rPr>
                <w:lang w:val="it-IT" w:eastAsia="it-IT"/>
              </w:rPr>
              <w:t xml:space="preserve">elementale </w:t>
            </w:r>
            <w:r w:rsidRPr="00F3421F">
              <w:rPr>
                <w:lang w:val="it-IT" w:eastAsia="it-IT"/>
              </w:rPr>
              <w:t xml:space="preserve">di materiali </w:t>
            </w:r>
            <w:r w:rsidR="00DF08F6">
              <w:rPr>
                <w:lang w:val="it-IT" w:eastAsia="it-IT"/>
              </w:rPr>
              <w:t>(</w:t>
            </w:r>
            <w:r w:rsidR="002E2D83">
              <w:rPr>
                <w:lang w:val="it-IT" w:eastAsia="it-IT"/>
              </w:rPr>
              <w:t xml:space="preserve">tipicamente </w:t>
            </w:r>
            <w:r w:rsidRPr="00F3421F">
              <w:rPr>
                <w:lang w:val="it-IT" w:eastAsia="it-IT"/>
              </w:rPr>
              <w:t>inorganic</w:t>
            </w:r>
            <w:r w:rsidR="00C617B1">
              <w:rPr>
                <w:lang w:val="it-IT" w:eastAsia="it-IT"/>
              </w:rPr>
              <w:t>i</w:t>
            </w:r>
            <w:r w:rsidR="00DF08F6">
              <w:rPr>
                <w:lang w:val="it-IT" w:eastAsia="it-IT"/>
              </w:rPr>
              <w:t>)</w:t>
            </w:r>
            <w:r w:rsidRPr="00F3421F">
              <w:rPr>
                <w:lang w:val="it-IT" w:eastAsia="it-IT"/>
              </w:rPr>
              <w:t xml:space="preserve"> </w:t>
            </w:r>
            <w:r w:rsidR="00DF08F6">
              <w:rPr>
                <w:lang w:val="it-IT" w:eastAsia="it-IT"/>
              </w:rPr>
              <w:t xml:space="preserve">è rivolta a studi di </w:t>
            </w:r>
            <w:r w:rsidR="002E2D83">
              <w:rPr>
                <w:lang w:val="it-IT" w:eastAsia="it-IT"/>
              </w:rPr>
              <w:t>provenienza (ricerca di inclusioni</w:t>
            </w:r>
            <w:r w:rsidR="005C01FE">
              <w:rPr>
                <w:lang w:val="it-IT" w:eastAsia="it-IT"/>
              </w:rPr>
              <w:t xml:space="preserve"> caratterizzanti), natura dei materiali e loro stato di conservazione (</w:t>
            </w:r>
            <w:r w:rsidR="00B43078">
              <w:rPr>
                <w:lang w:val="it-IT" w:eastAsia="it-IT"/>
              </w:rPr>
              <w:t>ricerca delle associazioni chimiche elementali)</w:t>
            </w:r>
            <w:r w:rsidR="00F70DB9">
              <w:rPr>
                <w:lang w:val="it-IT" w:eastAsia="it-IT"/>
              </w:rPr>
              <w:t>, tecnica di produzione o processo artistico</w:t>
            </w:r>
            <w:r w:rsidR="00B43078">
              <w:rPr>
                <w:lang w:val="it-IT" w:eastAsia="it-IT"/>
              </w:rPr>
              <w:t xml:space="preserve">. </w:t>
            </w:r>
            <w:r w:rsidR="00F70DB9">
              <w:rPr>
                <w:lang w:val="it-IT" w:eastAsia="it-IT"/>
              </w:rPr>
              <w:t>Ad esempio</w:t>
            </w:r>
            <w:r w:rsidR="002E0079">
              <w:rPr>
                <w:lang w:val="it-IT" w:eastAsia="it-IT"/>
              </w:rPr>
              <w:t xml:space="preserve">, </w:t>
            </w:r>
            <w:r w:rsidR="00F70DB9">
              <w:rPr>
                <w:lang w:val="it-IT" w:eastAsia="it-IT"/>
              </w:rPr>
              <w:t xml:space="preserve">la tecnica può essere impiegata nella ricerca di inclusi dei metalli del platino </w:t>
            </w:r>
            <w:r w:rsidR="002E0079">
              <w:rPr>
                <w:lang w:val="it-IT" w:eastAsia="it-IT"/>
              </w:rPr>
              <w:t xml:space="preserve">(PGM) </w:t>
            </w:r>
            <w:r w:rsidR="00F70DB9">
              <w:rPr>
                <w:lang w:val="it-IT" w:eastAsia="it-IT"/>
              </w:rPr>
              <w:t>in oggetti archeologic</w:t>
            </w:r>
            <w:r w:rsidR="002E0079">
              <w:rPr>
                <w:lang w:val="it-IT" w:eastAsia="it-IT"/>
              </w:rPr>
              <w:t>i</w:t>
            </w:r>
            <w:r w:rsidR="00F70DB9">
              <w:rPr>
                <w:lang w:val="it-IT" w:eastAsia="it-IT"/>
              </w:rPr>
              <w:t xml:space="preserve"> </w:t>
            </w:r>
            <w:r w:rsidR="002E0079">
              <w:rPr>
                <w:lang w:val="it-IT" w:eastAsia="it-IT"/>
              </w:rPr>
              <w:t xml:space="preserve">in </w:t>
            </w:r>
            <w:r w:rsidR="00F70DB9">
              <w:rPr>
                <w:lang w:val="it-IT" w:eastAsia="it-IT"/>
              </w:rPr>
              <w:t>oro nativo</w:t>
            </w:r>
            <w:r w:rsidR="002E0079">
              <w:rPr>
                <w:lang w:val="it-IT" w:eastAsia="it-IT"/>
              </w:rPr>
              <w:t xml:space="preserve"> o, vista l’elevata risoluzione spaziale, per gli studi dell</w:t>
            </w:r>
            <w:r w:rsidR="0070392B">
              <w:rPr>
                <w:lang w:val="it-IT" w:eastAsia="it-IT"/>
              </w:rPr>
              <w:t>a dinamica delle</w:t>
            </w:r>
            <w:r w:rsidR="002E0079">
              <w:rPr>
                <w:lang w:val="it-IT" w:eastAsia="it-IT"/>
              </w:rPr>
              <w:t xml:space="preserve"> pennellate </w:t>
            </w:r>
            <w:r w:rsidR="0012145B">
              <w:rPr>
                <w:lang w:val="it-IT" w:eastAsia="it-IT"/>
              </w:rPr>
              <w:t xml:space="preserve">di un artista </w:t>
            </w:r>
            <w:r w:rsidR="0070392B">
              <w:rPr>
                <w:lang w:val="it-IT" w:eastAsia="it-IT"/>
              </w:rPr>
              <w:t>in una composizione pittorica.</w:t>
            </w:r>
          </w:p>
          <w:p w14:paraId="49C164CE" w14:textId="54EB45B7" w:rsidR="00717B17" w:rsidRDefault="005963DA" w:rsidP="0001321B">
            <w:pPr>
              <w:spacing w:line="276" w:lineRule="auto"/>
              <w:jc w:val="both"/>
              <w:rPr>
                <w:lang w:val="it-IT" w:eastAsia="it-IT"/>
              </w:rPr>
            </w:pPr>
            <w:r w:rsidRPr="00F3421F">
              <w:rPr>
                <w:lang w:val="it-IT" w:eastAsia="it-IT"/>
              </w:rPr>
              <w:t xml:space="preserve">La tecnica </w:t>
            </w:r>
            <w:r w:rsidR="0070392B">
              <w:rPr>
                <w:lang w:val="it-IT" w:eastAsia="it-IT"/>
              </w:rPr>
              <w:t xml:space="preserve">micro-XRF di ISPC </w:t>
            </w:r>
            <w:r w:rsidRPr="00F3421F">
              <w:rPr>
                <w:lang w:val="it-IT" w:eastAsia="it-IT"/>
              </w:rPr>
              <w:t>si basa sull’irraggiamento della superficie del campione operando una scansione continua</w:t>
            </w:r>
            <w:r w:rsidR="001E0D36">
              <w:rPr>
                <w:lang w:val="it-IT" w:eastAsia="it-IT"/>
              </w:rPr>
              <w:t xml:space="preserve"> con velocità fino a 50mm/sec </w:t>
            </w:r>
            <w:r w:rsidRPr="00F3421F">
              <w:rPr>
                <w:lang w:val="it-IT" w:eastAsia="it-IT"/>
              </w:rPr>
              <w:t xml:space="preserve">con un fascio primario di raggi X </w:t>
            </w:r>
            <w:r w:rsidR="004E044C">
              <w:rPr>
                <w:lang w:val="it-IT" w:eastAsia="it-IT"/>
              </w:rPr>
              <w:t xml:space="preserve">avente </w:t>
            </w:r>
            <w:r w:rsidR="005A6873">
              <w:rPr>
                <w:lang w:val="it-IT" w:eastAsia="it-IT"/>
              </w:rPr>
              <w:t>dimensioni dell’ordine di 10 micron</w:t>
            </w:r>
            <w:r w:rsidR="004E044C">
              <w:rPr>
                <w:lang w:val="it-IT" w:eastAsia="it-IT"/>
              </w:rPr>
              <w:t xml:space="preserve"> su </w:t>
            </w:r>
            <w:r w:rsidR="001E0D36">
              <w:rPr>
                <w:lang w:val="it-IT" w:eastAsia="it-IT"/>
              </w:rPr>
              <w:t>un’area</w:t>
            </w:r>
            <w:r w:rsidR="004E044C">
              <w:rPr>
                <w:lang w:val="it-IT" w:eastAsia="it-IT"/>
              </w:rPr>
              <w:t xml:space="preserve"> di </w:t>
            </w:r>
            <w:r w:rsidR="001E0D36">
              <w:rPr>
                <w:lang w:val="it-IT" w:eastAsia="it-IT"/>
              </w:rPr>
              <w:t xml:space="preserve">50x50 </w:t>
            </w:r>
            <w:r w:rsidR="001E0D36" w:rsidRPr="001E0D36">
              <w:rPr>
                <w:lang w:val="it-IT" w:eastAsia="it-IT"/>
              </w:rPr>
              <w:t>cm</w:t>
            </w:r>
            <w:r w:rsidR="001E0D36" w:rsidRPr="001E0D36">
              <w:rPr>
                <w:vertAlign w:val="superscript"/>
                <w:lang w:val="it-IT" w:eastAsia="it-IT"/>
              </w:rPr>
              <w:t>2</w:t>
            </w:r>
            <w:r w:rsidR="001E0D36">
              <w:rPr>
                <w:lang w:val="it-IT" w:eastAsia="it-IT"/>
              </w:rPr>
              <w:t>. Viste le dimensioni dell’area di scansione</w:t>
            </w:r>
            <w:r w:rsidR="00EB295B">
              <w:rPr>
                <w:lang w:val="it-IT" w:eastAsia="it-IT"/>
              </w:rPr>
              <w:t xml:space="preserve">, per la prima volta la tecnica micro-XRF può essere applicata in situ anche su contesti macroscopici. </w:t>
            </w:r>
            <w:r w:rsidRPr="00F3421F">
              <w:rPr>
                <w:lang w:val="it-IT" w:eastAsia="it-IT"/>
              </w:rPr>
              <w:t xml:space="preserve">La fluorescenza a raggi X emessa dalle specie atomiche di cui è composto il campione viene opportunamente rivelata in funzione della posizione </w:t>
            </w:r>
            <w:r w:rsidR="00EB295B">
              <w:rPr>
                <w:lang w:val="it-IT" w:eastAsia="it-IT"/>
              </w:rPr>
              <w:t xml:space="preserve">da un sistema multi-rivelatore </w:t>
            </w:r>
            <w:r w:rsidR="0076347D">
              <w:rPr>
                <w:lang w:val="it-IT" w:eastAsia="it-IT"/>
              </w:rPr>
              <w:t xml:space="preserve">(fino a </w:t>
            </w:r>
            <w:proofErr w:type="gramStart"/>
            <w:r w:rsidR="0076347D">
              <w:rPr>
                <w:lang w:val="it-IT" w:eastAsia="it-IT"/>
              </w:rPr>
              <w:t>6</w:t>
            </w:r>
            <w:proofErr w:type="gramEnd"/>
            <w:r w:rsidR="0076347D">
              <w:rPr>
                <w:lang w:val="it-IT" w:eastAsia="it-IT"/>
              </w:rPr>
              <w:t xml:space="preserve"> elementi) </w:t>
            </w:r>
            <w:r w:rsidR="00E42D7C">
              <w:rPr>
                <w:lang w:val="it-IT" w:eastAsia="it-IT"/>
              </w:rPr>
              <w:t xml:space="preserve">che consente di operare con grande efficienza </w:t>
            </w:r>
            <w:r w:rsidR="0076347D">
              <w:rPr>
                <w:lang w:val="it-IT" w:eastAsia="it-IT"/>
              </w:rPr>
              <w:t xml:space="preserve">e, conseguentemente, </w:t>
            </w:r>
            <w:r w:rsidR="00E42D7C">
              <w:rPr>
                <w:lang w:val="it-IT" w:eastAsia="it-IT"/>
              </w:rPr>
              <w:t>con tempi di permanenza per pixel dell’ordine del ms.</w:t>
            </w:r>
            <w:r w:rsidR="0076347D">
              <w:rPr>
                <w:lang w:val="it-IT" w:eastAsia="it-IT"/>
              </w:rPr>
              <w:t xml:space="preserve"> Tale caratteristica riduce drasticamente i tempi di misura. </w:t>
            </w:r>
            <w:r w:rsidR="0070605E">
              <w:rPr>
                <w:lang w:val="it-IT" w:eastAsia="it-IT"/>
              </w:rPr>
              <w:t>Le indagini sono video guidate da un microscopio ottico ad alta risoluzione</w:t>
            </w:r>
            <w:r w:rsidR="0001321B">
              <w:rPr>
                <w:lang w:val="it-IT" w:eastAsia="it-IT"/>
              </w:rPr>
              <w:t xml:space="preserve"> e le immagini delle distribuzioni elementali nei campioni in studio vengono fornite ed elaborate in tempo reale, già durante la misura. </w:t>
            </w:r>
          </w:p>
          <w:p w14:paraId="61AAC399" w14:textId="6F1EA9CF" w:rsidR="00C14DEE" w:rsidRDefault="00C14DEE" w:rsidP="0001321B">
            <w:pPr>
              <w:spacing w:line="276" w:lineRule="auto"/>
              <w:jc w:val="both"/>
              <w:rPr>
                <w:lang w:val="it-IT" w:eastAsia="it-IT"/>
              </w:rPr>
            </w:pPr>
          </w:p>
          <w:p w14:paraId="594C83FD" w14:textId="635EC070" w:rsidR="00C14DEE" w:rsidRPr="00C14DEE" w:rsidRDefault="00C14DEE" w:rsidP="00C14DEE">
            <w:pPr>
              <w:spacing w:line="276" w:lineRule="auto"/>
              <w:jc w:val="both"/>
              <w:rPr>
                <w:b/>
                <w:bCs/>
                <w:i/>
                <w:iCs/>
                <w:lang w:val="it-IT" w:eastAsia="it-IT"/>
              </w:rPr>
            </w:pPr>
            <w:r w:rsidRPr="00C14DEE">
              <w:rPr>
                <w:b/>
                <w:bCs/>
                <w:i/>
                <w:iCs/>
                <w:lang w:val="it-IT" w:eastAsia="it-IT"/>
              </w:rPr>
              <w:t xml:space="preserve">Guida sintetica per la scelta della tecnica </w:t>
            </w:r>
            <w:r>
              <w:rPr>
                <w:b/>
                <w:bCs/>
                <w:i/>
                <w:iCs/>
                <w:lang w:val="it-IT" w:eastAsia="it-IT"/>
              </w:rPr>
              <w:t>micro-</w:t>
            </w:r>
            <w:r w:rsidRPr="00C14DEE">
              <w:rPr>
                <w:b/>
                <w:bCs/>
                <w:i/>
                <w:iCs/>
                <w:lang w:val="it-IT" w:eastAsia="it-IT"/>
              </w:rPr>
              <w:t>XRF</w:t>
            </w:r>
            <w:r>
              <w:rPr>
                <w:b/>
                <w:bCs/>
                <w:i/>
                <w:iCs/>
                <w:lang w:val="it-IT" w:eastAsia="it-IT"/>
              </w:rPr>
              <w:t xml:space="preserve"> di ISPC</w:t>
            </w:r>
          </w:p>
          <w:p w14:paraId="67706D2E" w14:textId="77777777" w:rsidR="00C14DEE" w:rsidRPr="00C14DEE" w:rsidRDefault="00C14DEE" w:rsidP="00C14DEE">
            <w:pPr>
              <w:spacing w:line="276" w:lineRule="auto"/>
              <w:jc w:val="both"/>
              <w:rPr>
                <w:lang w:val="it-IT" w:eastAsia="it-IT"/>
              </w:rPr>
            </w:pPr>
            <w:r w:rsidRPr="00C14DEE">
              <w:rPr>
                <w:lang w:val="it-IT" w:eastAsia="it-IT"/>
              </w:rPr>
              <w:t>Materiali: tutti i materiali di natura inorganica</w:t>
            </w:r>
          </w:p>
          <w:p w14:paraId="5F19699B" w14:textId="37C7C100" w:rsidR="00C14DEE" w:rsidRPr="00C14DEE" w:rsidRDefault="00C14DEE" w:rsidP="00C14DEE">
            <w:pPr>
              <w:spacing w:line="276" w:lineRule="auto"/>
              <w:jc w:val="both"/>
              <w:rPr>
                <w:lang w:val="it-IT" w:eastAsia="it-IT"/>
              </w:rPr>
            </w:pPr>
            <w:r w:rsidRPr="00C14DEE">
              <w:rPr>
                <w:lang w:val="it-IT" w:eastAsia="it-IT"/>
              </w:rPr>
              <w:t>Casi ottimali di applicazione: opere pittoriche su qualsiasi supporto anche di grandi dimensioni</w:t>
            </w:r>
            <w:r w:rsidR="0055497B">
              <w:rPr>
                <w:lang w:val="it-IT" w:eastAsia="it-IT"/>
              </w:rPr>
              <w:t xml:space="preserve">, metalli (anche piccoli oggetti decorati o incisi), </w:t>
            </w:r>
            <w:r w:rsidR="00D12FA8">
              <w:rPr>
                <w:lang w:val="it-IT" w:eastAsia="it-IT"/>
              </w:rPr>
              <w:t xml:space="preserve">ceramica dipinta o invetriata, </w:t>
            </w:r>
            <w:r w:rsidR="0055497B">
              <w:rPr>
                <w:lang w:val="it-IT" w:eastAsia="it-IT"/>
              </w:rPr>
              <w:t xml:space="preserve">materiale </w:t>
            </w:r>
            <w:r w:rsidR="00D12FA8">
              <w:rPr>
                <w:lang w:val="it-IT" w:eastAsia="it-IT"/>
              </w:rPr>
              <w:t xml:space="preserve">mineralogico o petrografico, etc. </w:t>
            </w:r>
          </w:p>
          <w:p w14:paraId="6CF54EB9" w14:textId="77777777" w:rsidR="00C14DEE" w:rsidRPr="00C14DEE" w:rsidRDefault="00C14DEE" w:rsidP="00C14DEE">
            <w:pPr>
              <w:spacing w:line="276" w:lineRule="auto"/>
              <w:jc w:val="both"/>
              <w:rPr>
                <w:lang w:val="it-IT" w:eastAsia="it-IT"/>
              </w:rPr>
            </w:pPr>
            <w:r w:rsidRPr="00C14DEE">
              <w:rPr>
                <w:lang w:val="it-IT" w:eastAsia="it-IT"/>
              </w:rPr>
              <w:t>Posizionamento del campione: verticale e orizzontale</w:t>
            </w:r>
          </w:p>
          <w:p w14:paraId="19DA133C" w14:textId="77777777" w:rsidR="00C14DEE" w:rsidRPr="00C14DEE" w:rsidRDefault="00C14DEE" w:rsidP="00C14DEE">
            <w:pPr>
              <w:spacing w:line="276" w:lineRule="auto"/>
              <w:jc w:val="both"/>
              <w:rPr>
                <w:lang w:val="it-IT" w:eastAsia="it-IT"/>
              </w:rPr>
            </w:pPr>
            <w:r w:rsidRPr="00C14DEE">
              <w:rPr>
                <w:lang w:val="it-IT" w:eastAsia="it-IT"/>
              </w:rPr>
              <w:t xml:space="preserve">Tipologia di analisi: non-distruttiva e in-situ </w:t>
            </w:r>
          </w:p>
          <w:p w14:paraId="5E209A5E" w14:textId="0DAF0D93" w:rsidR="00C14DEE" w:rsidRPr="00C14DEE" w:rsidRDefault="00C14DEE" w:rsidP="00C14DEE">
            <w:pPr>
              <w:spacing w:line="276" w:lineRule="auto"/>
              <w:jc w:val="both"/>
              <w:rPr>
                <w:lang w:val="it-IT" w:eastAsia="it-IT"/>
              </w:rPr>
            </w:pPr>
            <w:r w:rsidRPr="00C14DEE">
              <w:rPr>
                <w:lang w:val="it-IT" w:eastAsia="it-IT"/>
              </w:rPr>
              <w:t xml:space="preserve">Tempi di misura: </w:t>
            </w:r>
            <w:r w:rsidR="0016737E">
              <w:rPr>
                <w:lang w:val="it-IT" w:eastAsia="it-IT"/>
              </w:rPr>
              <w:t xml:space="preserve">3 </w:t>
            </w:r>
            <w:r w:rsidRPr="00C14DEE">
              <w:rPr>
                <w:lang w:val="it-IT" w:eastAsia="it-IT"/>
              </w:rPr>
              <w:t>ore per coprire un’area di 10x</w:t>
            </w:r>
            <w:r w:rsidR="0016737E">
              <w:rPr>
                <w:lang w:val="it-IT" w:eastAsia="it-IT"/>
              </w:rPr>
              <w:t>1</w:t>
            </w:r>
            <w:r w:rsidRPr="00C14DEE">
              <w:rPr>
                <w:lang w:val="it-IT" w:eastAsia="it-IT"/>
              </w:rPr>
              <w:t>0cm</w:t>
            </w:r>
            <w:r w:rsidRPr="0016737E">
              <w:rPr>
                <w:vertAlign w:val="superscript"/>
                <w:lang w:val="it-IT" w:eastAsia="it-IT"/>
              </w:rPr>
              <w:t>2</w:t>
            </w:r>
            <w:r w:rsidRPr="00C14DEE">
              <w:rPr>
                <w:lang w:val="it-IT" w:eastAsia="it-IT"/>
              </w:rPr>
              <w:t xml:space="preserve"> con risoluzione pari a 1</w:t>
            </w:r>
            <w:r w:rsidR="0016737E">
              <w:rPr>
                <w:lang w:val="it-IT" w:eastAsia="it-IT"/>
              </w:rPr>
              <w:t>0 micron</w:t>
            </w:r>
            <w:r w:rsidRPr="00C14DEE">
              <w:rPr>
                <w:lang w:val="it-IT" w:eastAsia="it-IT"/>
              </w:rPr>
              <w:t xml:space="preserve">. </w:t>
            </w:r>
          </w:p>
          <w:p w14:paraId="23CF037C" w14:textId="04AC78B4" w:rsidR="00C14DEE" w:rsidRPr="00C14DEE" w:rsidRDefault="00C14DEE" w:rsidP="00C14DEE">
            <w:pPr>
              <w:spacing w:line="276" w:lineRule="auto"/>
              <w:jc w:val="both"/>
              <w:rPr>
                <w:lang w:val="it-IT" w:eastAsia="it-IT"/>
              </w:rPr>
            </w:pPr>
            <w:r w:rsidRPr="00C14DEE">
              <w:rPr>
                <w:lang w:val="it-IT" w:eastAsia="it-IT"/>
              </w:rPr>
              <w:t xml:space="preserve">Risoluzione massima: </w:t>
            </w:r>
            <w:r w:rsidR="00312F18">
              <w:rPr>
                <w:lang w:val="it-IT" w:eastAsia="it-IT"/>
              </w:rPr>
              <w:t xml:space="preserve">3-5 </w:t>
            </w:r>
            <w:r w:rsidRPr="00C14DEE">
              <w:rPr>
                <w:lang w:val="it-IT" w:eastAsia="it-IT"/>
              </w:rPr>
              <w:t>micron</w:t>
            </w:r>
          </w:p>
          <w:p w14:paraId="57C55EC6" w14:textId="46DB4767" w:rsidR="00C14DEE" w:rsidRPr="00C14DEE" w:rsidRDefault="00C14DEE" w:rsidP="00C14DEE">
            <w:pPr>
              <w:spacing w:line="276" w:lineRule="auto"/>
              <w:jc w:val="both"/>
              <w:rPr>
                <w:lang w:val="it-IT" w:eastAsia="it-IT"/>
              </w:rPr>
            </w:pPr>
            <w:r w:rsidRPr="00C14DEE">
              <w:rPr>
                <w:lang w:val="it-IT" w:eastAsia="it-IT"/>
              </w:rPr>
              <w:t xml:space="preserve">Caratteristiche e parametri della sorgente X: anodo di </w:t>
            </w:r>
            <w:r w:rsidR="001E22C8">
              <w:rPr>
                <w:lang w:val="it-IT" w:eastAsia="it-IT"/>
              </w:rPr>
              <w:t>Mo</w:t>
            </w:r>
            <w:r w:rsidRPr="00C14DEE">
              <w:rPr>
                <w:lang w:val="it-IT" w:eastAsia="it-IT"/>
              </w:rPr>
              <w:t xml:space="preserve">, 50Kv e 0.6mA (potenza 30W); anodo di Cr, 50 kV 0.6mA per misure specifiche a grande efficienza di elementi a basso numero atomico.   </w:t>
            </w:r>
          </w:p>
          <w:p w14:paraId="49D1AAA5" w14:textId="60359D73" w:rsidR="00C14DEE" w:rsidRPr="00C14DEE" w:rsidRDefault="00C14DEE" w:rsidP="00C14DEE">
            <w:pPr>
              <w:spacing w:line="276" w:lineRule="auto"/>
              <w:jc w:val="both"/>
              <w:rPr>
                <w:lang w:val="it-IT" w:eastAsia="it-IT"/>
              </w:rPr>
            </w:pPr>
            <w:r w:rsidRPr="00C14DEE">
              <w:rPr>
                <w:lang w:val="it-IT" w:eastAsia="it-IT"/>
              </w:rPr>
              <w:t>Dimensione del fascio: nel range di distanze tra 10</w:t>
            </w:r>
            <w:r w:rsidR="001E22C8">
              <w:rPr>
                <w:lang w:val="it-IT" w:eastAsia="it-IT"/>
              </w:rPr>
              <w:t>-15 micron a 3 mm dalla superfice del campione</w:t>
            </w:r>
            <w:r w:rsidRPr="00C14DEE">
              <w:rPr>
                <w:lang w:val="it-IT" w:eastAsia="it-IT"/>
              </w:rPr>
              <w:t>.</w:t>
            </w:r>
          </w:p>
          <w:p w14:paraId="0B8C582F" w14:textId="77777777" w:rsidR="00C14DEE" w:rsidRPr="00C14DEE" w:rsidRDefault="00C14DEE" w:rsidP="00C14DEE">
            <w:pPr>
              <w:spacing w:line="276" w:lineRule="auto"/>
              <w:jc w:val="both"/>
              <w:rPr>
                <w:lang w:val="it-IT" w:eastAsia="it-IT"/>
              </w:rPr>
            </w:pPr>
            <w:r w:rsidRPr="00C14DEE">
              <w:rPr>
                <w:lang w:val="it-IT" w:eastAsia="it-IT"/>
              </w:rPr>
              <w:t>Sistema di rivelazione: Multi-rivelatore fino a 6 elementi SDD da 50mm</w:t>
            </w:r>
            <w:r w:rsidRPr="001E22C8">
              <w:rPr>
                <w:vertAlign w:val="superscript"/>
                <w:lang w:val="it-IT" w:eastAsia="it-IT"/>
              </w:rPr>
              <w:t>2</w:t>
            </w:r>
            <w:r w:rsidRPr="00C14DEE">
              <w:rPr>
                <w:lang w:val="it-IT" w:eastAsia="it-IT"/>
              </w:rPr>
              <w:t xml:space="preserve"> operante in parallelo</w:t>
            </w:r>
          </w:p>
          <w:p w14:paraId="221FA731" w14:textId="3395E344" w:rsidR="00C14DEE" w:rsidRPr="00C14DEE" w:rsidRDefault="00C14DEE" w:rsidP="00C14DEE">
            <w:pPr>
              <w:spacing w:line="276" w:lineRule="auto"/>
              <w:jc w:val="both"/>
              <w:rPr>
                <w:lang w:val="it-IT" w:eastAsia="it-IT"/>
              </w:rPr>
            </w:pPr>
            <w:r w:rsidRPr="00C14DEE">
              <w:rPr>
                <w:lang w:val="it-IT" w:eastAsia="it-IT"/>
              </w:rPr>
              <w:t xml:space="preserve">Altre tecniche presenti nello strumento: MA-XRF, XRF confocale. </w:t>
            </w:r>
          </w:p>
          <w:p w14:paraId="335DCB68" w14:textId="77777777" w:rsidR="00C14DEE" w:rsidRPr="00C14DEE" w:rsidRDefault="00C14DEE" w:rsidP="00C14DEE">
            <w:pPr>
              <w:spacing w:line="276" w:lineRule="auto"/>
              <w:jc w:val="both"/>
              <w:rPr>
                <w:lang w:val="it-IT" w:eastAsia="it-IT"/>
              </w:rPr>
            </w:pPr>
            <w:r w:rsidRPr="00C14DEE">
              <w:rPr>
                <w:lang w:val="it-IT" w:eastAsia="it-IT"/>
              </w:rPr>
              <w:lastRenderedPageBreak/>
              <w:t xml:space="preserve">Specifiche analitiche: le immagini elementali sono fornite in tempo reale durante le misure con spettri XRF per pixel già </w:t>
            </w:r>
            <w:proofErr w:type="spellStart"/>
            <w:r w:rsidRPr="00C14DEE">
              <w:rPr>
                <w:lang w:val="it-IT" w:eastAsia="it-IT"/>
              </w:rPr>
              <w:t>deconvoluti</w:t>
            </w:r>
            <w:proofErr w:type="spellEnd"/>
            <w:r w:rsidRPr="00C14DEE">
              <w:rPr>
                <w:lang w:val="it-IT" w:eastAsia="it-IT"/>
              </w:rPr>
              <w:t xml:space="preserve"> (assenza di artefatti); il software di analisi consente in tempo reale di operare l’imaging-processing, correlazioni elementali RGB, </w:t>
            </w:r>
            <w:proofErr w:type="spellStart"/>
            <w:r w:rsidRPr="00C14DEE">
              <w:rPr>
                <w:lang w:val="it-IT" w:eastAsia="it-IT"/>
              </w:rPr>
              <w:t>scatter</w:t>
            </w:r>
            <w:proofErr w:type="spellEnd"/>
            <w:r w:rsidRPr="00C14DEE">
              <w:rPr>
                <w:lang w:val="it-IT" w:eastAsia="it-IT"/>
              </w:rPr>
              <w:t xml:space="preserve"> plot di correlazione, analisi statistica PCA, ICA e NMF, analisi degli spettri su singole regioni di interesse, spettro dei massimi (per identificare elementi in traccia o inclusioni localizzate)</w:t>
            </w:r>
          </w:p>
          <w:p w14:paraId="4E15E579" w14:textId="7AC1580F" w:rsidR="0001321B" w:rsidRPr="00F3421F" w:rsidRDefault="00C14DEE" w:rsidP="0001321B">
            <w:pPr>
              <w:spacing w:line="276" w:lineRule="auto"/>
              <w:jc w:val="both"/>
              <w:rPr>
                <w:lang w:val="it-IT" w:eastAsia="it-IT"/>
              </w:rPr>
            </w:pPr>
            <w:r w:rsidRPr="00C14DEE">
              <w:rPr>
                <w:lang w:val="it-IT" w:eastAsia="it-IT"/>
              </w:rPr>
              <w:t>Sicurezza: stop automatico in caso superamento di una soglia di avvicinamento di si</w:t>
            </w:r>
            <w:r w:rsidR="001E22C8">
              <w:rPr>
                <w:lang w:val="it-IT" w:eastAsia="it-IT"/>
              </w:rPr>
              <w:t>c</w:t>
            </w:r>
            <w:r w:rsidRPr="00C14DEE">
              <w:rPr>
                <w:lang w:val="it-IT" w:eastAsia="it-IT"/>
              </w:rPr>
              <w:t>urezza.</w:t>
            </w:r>
          </w:p>
        </w:tc>
      </w:tr>
      <w:tr w:rsidR="000F114A" w:rsidRPr="00873C80" w14:paraId="142888F8" w14:textId="77777777" w:rsidTr="00B55E7A">
        <w:tc>
          <w:tcPr>
            <w:tcW w:w="5000" w:type="pct"/>
          </w:tcPr>
          <w:p w14:paraId="63B17CB7" w14:textId="77777777" w:rsidR="00E0115A" w:rsidRPr="00E0115A" w:rsidRDefault="00E0115A" w:rsidP="00E0115A">
            <w:pPr>
              <w:rPr>
                <w:lang w:val="it-IT"/>
              </w:rPr>
            </w:pPr>
          </w:p>
          <w:p w14:paraId="2B0A6FEB" w14:textId="77777777" w:rsidR="00E0115A" w:rsidRPr="00682F67" w:rsidRDefault="00E0115A" w:rsidP="00E0115A">
            <w:pPr>
              <w:rPr>
                <w:b/>
                <w:bCs/>
                <w:lang w:val="it-IT"/>
              </w:rPr>
            </w:pPr>
            <w:r w:rsidRPr="00682F67">
              <w:rPr>
                <w:b/>
                <w:bCs/>
                <w:lang w:val="it-IT"/>
              </w:rPr>
              <w:t>DETTAGLI TECNICI</w:t>
            </w:r>
          </w:p>
          <w:p w14:paraId="4A745260" w14:textId="77777777" w:rsidR="00E0115A" w:rsidRPr="00E0115A" w:rsidRDefault="00E0115A" w:rsidP="00E0115A">
            <w:pPr>
              <w:rPr>
                <w:lang w:val="it-IT"/>
              </w:rPr>
            </w:pPr>
          </w:p>
          <w:p w14:paraId="6B891C11" w14:textId="488A9F4C" w:rsidR="00E0115A" w:rsidRPr="00E0115A" w:rsidRDefault="00E0115A" w:rsidP="00873C80">
            <w:pPr>
              <w:spacing w:line="276" w:lineRule="auto"/>
              <w:jc w:val="both"/>
              <w:rPr>
                <w:lang w:val="it-IT"/>
              </w:rPr>
            </w:pPr>
            <w:r w:rsidRPr="00E0115A">
              <w:rPr>
                <w:lang w:val="it-IT"/>
              </w:rPr>
              <w:t xml:space="preserve">Lo scanner mobile </w:t>
            </w:r>
            <w:r w:rsidR="00682F67">
              <w:rPr>
                <w:lang w:val="it-IT"/>
              </w:rPr>
              <w:t>micro</w:t>
            </w:r>
            <w:r w:rsidRPr="00E0115A">
              <w:rPr>
                <w:lang w:val="it-IT"/>
              </w:rPr>
              <w:t xml:space="preserve">-XRF sviluppato presso il laboratorio </w:t>
            </w:r>
            <w:proofErr w:type="spellStart"/>
            <w:r w:rsidRPr="00E0115A">
              <w:rPr>
                <w:lang w:val="it-IT"/>
              </w:rPr>
              <w:t>XRAYLab</w:t>
            </w:r>
            <w:proofErr w:type="spellEnd"/>
            <w:r w:rsidRPr="00E0115A">
              <w:rPr>
                <w:lang w:val="it-IT"/>
              </w:rPr>
              <w:t xml:space="preserve"> di CNR-ISPC è un sistema meccatronico operante in tecnologia real-time. Il sistema consta di una testa di misura spettrometrica equipaggiata con tubo a raggi X </w:t>
            </w:r>
            <w:proofErr w:type="spellStart"/>
            <w:r w:rsidRPr="00E0115A">
              <w:rPr>
                <w:lang w:val="it-IT"/>
              </w:rPr>
              <w:t>microfocus</w:t>
            </w:r>
            <w:proofErr w:type="spellEnd"/>
            <w:r w:rsidRPr="00E0115A">
              <w:rPr>
                <w:lang w:val="it-IT"/>
              </w:rPr>
              <w:t xml:space="preserve"> con anodo di </w:t>
            </w:r>
            <w:r w:rsidR="00C37F06">
              <w:rPr>
                <w:lang w:val="it-IT"/>
              </w:rPr>
              <w:t xml:space="preserve">Mo </w:t>
            </w:r>
            <w:r w:rsidRPr="00E0115A">
              <w:rPr>
                <w:lang w:val="it-IT"/>
              </w:rPr>
              <w:t xml:space="preserve">da 30W accoppiato ad un’ottica </w:t>
            </w:r>
            <w:proofErr w:type="spellStart"/>
            <w:r w:rsidRPr="00E0115A">
              <w:rPr>
                <w:lang w:val="it-IT"/>
              </w:rPr>
              <w:t>policapillare</w:t>
            </w:r>
            <w:proofErr w:type="spellEnd"/>
            <w:r w:rsidRPr="00E0115A">
              <w:rPr>
                <w:lang w:val="it-IT"/>
              </w:rPr>
              <w:t xml:space="preserve"> focalizzante. Una seconda sorgente primaria di raggi X con anodo di Cr può essere alternata a quella di Rh per una migliore acquisizione delle immagini degli elementi chimici con righe spettroscopiche nella regione di bassa energia. Inoltre, l’uso combinato delle due sorgenti permette di separare le distribuzioni di uno stesso elemento chimico presente a diverse profondità stratigrafiche dell’opera. La fluorescenza X indotta dalla radiazione primaria è rivelata in modalità evento da un sistema multi-rivelatore che contiene fino a 6 elementi SDD da 50mm</w:t>
            </w:r>
            <w:r w:rsidRPr="00C37F06">
              <w:rPr>
                <w:vertAlign w:val="superscript"/>
                <w:lang w:val="it-IT"/>
              </w:rPr>
              <w:t>2</w:t>
            </w:r>
            <w:r w:rsidRPr="00E0115A">
              <w:rPr>
                <w:lang w:val="it-IT"/>
              </w:rPr>
              <w:t xml:space="preserve"> e risoluzione energetica &lt;130eV a 5.9 </w:t>
            </w:r>
            <w:proofErr w:type="spellStart"/>
            <w:r w:rsidRPr="00E0115A">
              <w:rPr>
                <w:lang w:val="it-IT"/>
              </w:rPr>
              <w:t>keV</w:t>
            </w:r>
            <w:proofErr w:type="spellEnd"/>
            <w:r w:rsidRPr="00E0115A">
              <w:rPr>
                <w:lang w:val="it-IT"/>
              </w:rPr>
              <w:t xml:space="preserve">, che operano in parallelo. La testa spettrometrica è montata su un sistema a 3 assi (XYZ) con corsa </w:t>
            </w:r>
            <w:r w:rsidR="00C37F06">
              <w:rPr>
                <w:lang w:val="it-IT"/>
              </w:rPr>
              <w:t>50</w:t>
            </w:r>
            <w:r w:rsidRPr="00E0115A">
              <w:rPr>
                <w:lang w:val="it-IT"/>
              </w:rPr>
              <w:t>x</w:t>
            </w:r>
            <w:r w:rsidR="00C37F06">
              <w:rPr>
                <w:lang w:val="it-IT"/>
              </w:rPr>
              <w:t>5</w:t>
            </w:r>
            <w:r w:rsidRPr="00E0115A">
              <w:rPr>
                <w:lang w:val="it-IT"/>
              </w:rPr>
              <w:t>0x20cm</w:t>
            </w:r>
            <w:r w:rsidRPr="00C37F06">
              <w:rPr>
                <w:vertAlign w:val="superscript"/>
                <w:lang w:val="it-IT"/>
              </w:rPr>
              <w:t>3</w:t>
            </w:r>
            <w:r w:rsidRPr="00E0115A">
              <w:rPr>
                <w:lang w:val="it-IT"/>
              </w:rPr>
              <w:t xml:space="preserve"> che permette di operare la scansione in modalità continua ad alta velocità (fino a </w:t>
            </w:r>
            <w:r w:rsidR="00C37F06">
              <w:rPr>
                <w:lang w:val="it-IT"/>
              </w:rPr>
              <w:t>5</w:t>
            </w:r>
            <w:r w:rsidRPr="00E0115A">
              <w:rPr>
                <w:lang w:val="it-IT"/>
              </w:rPr>
              <w:t xml:space="preserve">0 mm/sec) e con un tempo di permanenza per pixel fino a 1msec. </w:t>
            </w:r>
          </w:p>
          <w:p w14:paraId="0606A74C" w14:textId="6F7D0F17" w:rsidR="00E0115A" w:rsidRPr="00E0115A" w:rsidRDefault="00E0115A" w:rsidP="00873C80">
            <w:pPr>
              <w:spacing w:line="276" w:lineRule="auto"/>
              <w:jc w:val="both"/>
              <w:rPr>
                <w:lang w:val="it-IT"/>
              </w:rPr>
            </w:pPr>
            <w:r w:rsidRPr="00E0115A">
              <w:rPr>
                <w:lang w:val="it-IT"/>
              </w:rPr>
              <w:t>Il sistema è dotato di una CPU centrale per il controllo dei parametri operativi di misura e dei sistemi di scurezza. La CPU gestisce: la sequenza di scansione; regola automaticamente i parametri della sorgente X e dei rivelatori per evitare degrado del tempo morto e risoluzione energetica negli spettri XRF dei singoli pixel; gestisce un interferometro laser a 750 frames/sec per la correzione dinamica della distanza di misura, in modo da evitare urti accidentali dello scanner con l’opera in esame; conserva le coordinate di scansione in modo da riprendere le analisi dalla stessa posizione in caso di pause prolungate o di fermo del sistema (ad es. pause notturne). Inoltre, la C</w:t>
            </w:r>
            <w:r w:rsidR="00CD6826">
              <w:rPr>
                <w:lang w:val="it-IT"/>
              </w:rPr>
              <w:t>P</w:t>
            </w:r>
            <w:r w:rsidRPr="00E0115A">
              <w:rPr>
                <w:lang w:val="it-IT"/>
              </w:rPr>
              <w:t xml:space="preserve">U opera l’analisi dinamica degli spettri-pixel applicando un’accurata procedura di </w:t>
            </w:r>
            <w:proofErr w:type="spellStart"/>
            <w:r w:rsidRPr="00E0115A">
              <w:rPr>
                <w:lang w:val="it-IT"/>
              </w:rPr>
              <w:t>fit</w:t>
            </w:r>
            <w:proofErr w:type="spellEnd"/>
            <w:r w:rsidRPr="00E0115A">
              <w:rPr>
                <w:lang w:val="it-IT"/>
              </w:rPr>
              <w:t xml:space="preserve"> </w:t>
            </w:r>
            <w:r w:rsidR="00873C80">
              <w:rPr>
                <w:lang w:val="it-IT"/>
              </w:rPr>
              <w:t xml:space="preserve">e </w:t>
            </w:r>
            <w:r w:rsidRPr="00E0115A">
              <w:rPr>
                <w:lang w:val="it-IT"/>
              </w:rPr>
              <w:t xml:space="preserve">fornendo le immagini elementali in real-time senza artefatti. Il sistema a scansione è anche fornito di un software per l’analisi real-time delle immagini attraverso il quale è possibile effettuare la correlazione delle immagini (RGB), applicare strumenti logici-matematici, applicare analisi statistiche (ad es. PCA, ICA e NNMF), generare </w:t>
            </w:r>
            <w:proofErr w:type="spellStart"/>
            <w:r w:rsidRPr="00E0115A">
              <w:rPr>
                <w:lang w:val="it-IT"/>
              </w:rPr>
              <w:t>scatter</w:t>
            </w:r>
            <w:proofErr w:type="spellEnd"/>
            <w:r w:rsidRPr="00E0115A">
              <w:rPr>
                <w:lang w:val="it-IT"/>
              </w:rPr>
              <w:t>-plot e</w:t>
            </w:r>
            <w:r w:rsidR="00E615A2">
              <w:rPr>
                <w:lang w:val="it-IT"/>
              </w:rPr>
              <w:t>d</w:t>
            </w:r>
            <w:r w:rsidRPr="00E0115A">
              <w:rPr>
                <w:lang w:val="it-IT"/>
              </w:rPr>
              <w:t xml:space="preserve"> esportare singoli spettri XRF selezionando una qualunque area (ROI) dell’immagine. Lo scanner è assemblabile in due diverse configurazioni della testa spettrometrica consentendo di analizzare ampie superfici che possono essere posizionate sia in posizione verticale</w:t>
            </w:r>
            <w:r w:rsidR="006E6FE2">
              <w:rPr>
                <w:lang w:val="it-IT"/>
              </w:rPr>
              <w:t xml:space="preserve"> che orizzontale</w:t>
            </w:r>
            <w:r w:rsidRPr="00E0115A">
              <w:rPr>
                <w:lang w:val="it-IT"/>
              </w:rPr>
              <w:t>.</w:t>
            </w:r>
          </w:p>
          <w:p w14:paraId="2B728D95" w14:textId="38ECA8EB" w:rsidR="00014159" w:rsidRPr="00F3421F" w:rsidRDefault="00E0115A" w:rsidP="003B45A7">
            <w:pPr>
              <w:jc w:val="both"/>
              <w:rPr>
                <w:lang w:val="it-IT"/>
              </w:rPr>
            </w:pPr>
            <w:r w:rsidRPr="00E0115A">
              <w:rPr>
                <w:lang w:val="it-IT"/>
              </w:rPr>
              <w:t xml:space="preserve"> </w:t>
            </w:r>
          </w:p>
          <w:p w14:paraId="12F43050" w14:textId="27498A99" w:rsidR="002545FE" w:rsidRPr="00F3421F" w:rsidRDefault="005A5FB2" w:rsidP="00877A95">
            <w:pPr>
              <w:spacing w:line="276" w:lineRule="auto"/>
              <w:jc w:val="both"/>
              <w:rPr>
                <w:lang w:val="it-IT"/>
              </w:rPr>
            </w:pPr>
            <w:r>
              <w:rPr>
                <w:noProof/>
              </w:rPr>
              <w:lastRenderedPageBreak/>
              <w:pict w14:anchorId="5FB469B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11" o:spid="_x0000_i1025" type="#_x0000_t75" style="width:510.35pt;height:278.2pt;visibility:visible;mso-wrap-style:square">
                  <v:imagedata r:id="rId5" o:title=""/>
                </v:shape>
              </w:pict>
            </w:r>
          </w:p>
          <w:p w14:paraId="7711DD2A" w14:textId="6BE40562" w:rsidR="00BD6CB3" w:rsidRPr="00F3421F" w:rsidRDefault="00BD6CB3" w:rsidP="00877A95">
            <w:pPr>
              <w:spacing w:line="276" w:lineRule="auto"/>
              <w:jc w:val="both"/>
              <w:rPr>
                <w:lang w:val="it-IT"/>
              </w:rPr>
            </w:pPr>
          </w:p>
          <w:p w14:paraId="136D1BEF" w14:textId="68B57DD7" w:rsidR="00112FCB" w:rsidRPr="003B45A7" w:rsidRDefault="002545FE" w:rsidP="003B45A7">
            <w:pPr>
              <w:jc w:val="center"/>
              <w:rPr>
                <w:i/>
                <w:iCs/>
                <w:lang w:val="it-IT"/>
              </w:rPr>
            </w:pPr>
            <w:r w:rsidRPr="003B45A7">
              <w:rPr>
                <w:i/>
                <w:iCs/>
                <w:lang w:val="it-IT"/>
              </w:rPr>
              <w:t xml:space="preserve">Analisi </w:t>
            </w:r>
            <w:r w:rsidR="003B45A7" w:rsidRPr="003B45A7">
              <w:rPr>
                <w:i/>
                <w:iCs/>
                <w:lang w:val="it-IT"/>
              </w:rPr>
              <w:t>micro-</w:t>
            </w:r>
            <w:r w:rsidRPr="003B45A7">
              <w:rPr>
                <w:i/>
                <w:iCs/>
                <w:lang w:val="it-IT"/>
              </w:rPr>
              <w:t xml:space="preserve">XRF </w:t>
            </w:r>
            <w:r w:rsidR="003B45A7" w:rsidRPr="003B45A7">
              <w:rPr>
                <w:i/>
                <w:iCs/>
                <w:lang w:val="it-IT"/>
              </w:rPr>
              <w:t xml:space="preserve">video guidata </w:t>
            </w:r>
            <w:r w:rsidRPr="003B45A7">
              <w:rPr>
                <w:i/>
                <w:iCs/>
                <w:lang w:val="it-IT"/>
              </w:rPr>
              <w:t xml:space="preserve">condotta </w:t>
            </w:r>
            <w:r w:rsidR="00C74704" w:rsidRPr="003B45A7">
              <w:rPr>
                <w:i/>
                <w:iCs/>
                <w:lang w:val="it-IT"/>
              </w:rPr>
              <w:t xml:space="preserve">su una copia </w:t>
            </w:r>
            <w:r w:rsidR="000833E3">
              <w:rPr>
                <w:i/>
                <w:iCs/>
                <w:lang w:val="it-IT"/>
              </w:rPr>
              <w:t xml:space="preserve">non attribuita </w:t>
            </w:r>
            <w:r w:rsidR="00B91E27">
              <w:rPr>
                <w:i/>
                <w:iCs/>
                <w:lang w:val="it-IT"/>
              </w:rPr>
              <w:t>(</w:t>
            </w:r>
            <w:r w:rsidR="000833E3">
              <w:rPr>
                <w:i/>
                <w:iCs/>
                <w:lang w:val="it-IT"/>
              </w:rPr>
              <w:t xml:space="preserve">olio su tavola, </w:t>
            </w:r>
            <w:r w:rsidR="00B91E27">
              <w:rPr>
                <w:i/>
                <w:iCs/>
                <w:lang w:val="it-IT"/>
              </w:rPr>
              <w:t xml:space="preserve">40x30cm) </w:t>
            </w:r>
            <w:r w:rsidR="00C74704" w:rsidRPr="003B45A7">
              <w:rPr>
                <w:i/>
                <w:iCs/>
                <w:lang w:val="it-IT"/>
              </w:rPr>
              <w:t>del dipinto “Madonna col Bambino e i santi Rosalia, Pietro e Paolo” di Anthony van Dyck</w:t>
            </w:r>
            <w:r w:rsidR="000833E3">
              <w:rPr>
                <w:i/>
                <w:iCs/>
                <w:lang w:val="it-IT"/>
              </w:rPr>
              <w:t>. La presenza di pigmenti anacronistici ha permesso di metterne in dubbio l’autenticità</w:t>
            </w:r>
          </w:p>
          <w:p w14:paraId="0D23094D" w14:textId="04BEEA29" w:rsidR="00D05762" w:rsidRPr="00F3421F" w:rsidRDefault="00D05762" w:rsidP="0065606B">
            <w:pPr>
              <w:jc w:val="center"/>
              <w:rPr>
                <w:lang w:val="it-IT"/>
              </w:rPr>
            </w:pPr>
          </w:p>
        </w:tc>
      </w:tr>
      <w:tr w:rsidR="00DE65AD" w:rsidRPr="00F3421F" w14:paraId="6336C56C" w14:textId="77777777" w:rsidTr="00B55E7A">
        <w:tc>
          <w:tcPr>
            <w:tcW w:w="5000" w:type="pct"/>
          </w:tcPr>
          <w:p w14:paraId="4E7F1492" w14:textId="77777777" w:rsidR="003B45A7" w:rsidRDefault="003B45A7" w:rsidP="00DE65AD">
            <w:pPr>
              <w:rPr>
                <w:b/>
                <w:bCs/>
                <w:lang w:val="it-IT"/>
              </w:rPr>
            </w:pPr>
          </w:p>
          <w:p w14:paraId="721B5C32" w14:textId="3437748D" w:rsidR="00DE65AD" w:rsidRPr="003B45A7" w:rsidRDefault="00DE65AD" w:rsidP="00DE65AD">
            <w:pPr>
              <w:rPr>
                <w:b/>
                <w:bCs/>
                <w:lang w:val="it-IT"/>
              </w:rPr>
            </w:pPr>
            <w:r w:rsidRPr="003B45A7">
              <w:rPr>
                <w:b/>
                <w:bCs/>
                <w:lang w:val="it-IT"/>
              </w:rPr>
              <w:t>MAGGIORI INFORMAZIONI</w:t>
            </w:r>
          </w:p>
          <w:p w14:paraId="1EACDCA8" w14:textId="77777777" w:rsidR="00DE65AD" w:rsidRPr="00F3421F" w:rsidRDefault="00DE65AD" w:rsidP="00DE65AD">
            <w:pPr>
              <w:rPr>
                <w:lang w:val="it-IT"/>
              </w:rPr>
            </w:pPr>
          </w:p>
          <w:p w14:paraId="1BC3C46D" w14:textId="77777777" w:rsidR="003B45A7" w:rsidRDefault="009036C8" w:rsidP="003B45A7">
            <w:pPr>
              <w:numPr>
                <w:ilvl w:val="0"/>
                <w:numId w:val="7"/>
              </w:numPr>
              <w:jc w:val="both"/>
            </w:pPr>
            <w:r w:rsidRPr="00F3421F">
              <w:rPr>
                <w:lang w:val="it-IT"/>
              </w:rPr>
              <w:t xml:space="preserve">Romano, F. P., Caliri, C., Nicotra, P., Di Martino, S., Pappalardo, L., Rizzo, F., &amp; Santos, H. C. (2017). </w:t>
            </w:r>
            <w:r w:rsidRPr="00F3421F">
              <w:t xml:space="preserve">Real-time elemental imaging of large dimension paintings with a novel mobile macro X-ray fluorescence (MA-XRF) scanning technique. </w:t>
            </w:r>
            <w:r w:rsidRPr="00F3421F">
              <w:rPr>
                <w:i/>
                <w:iCs/>
              </w:rPr>
              <w:t>Journal of Analytical Atomic Spectrometry</w:t>
            </w:r>
            <w:r w:rsidRPr="00F3421F">
              <w:t>, 32(4), 773-781.</w:t>
            </w:r>
          </w:p>
          <w:p w14:paraId="4085AC7B" w14:textId="3A7B0035" w:rsidR="00DE65AD" w:rsidRPr="003B45A7" w:rsidRDefault="007F0E41" w:rsidP="003B45A7">
            <w:pPr>
              <w:numPr>
                <w:ilvl w:val="0"/>
                <w:numId w:val="7"/>
              </w:numPr>
              <w:jc w:val="both"/>
            </w:pPr>
            <w:r w:rsidRPr="00F3421F">
              <w:t xml:space="preserve">H. Santos, et al., Identification of forgeries in historical enamels by combining the non-destructive scanning XRF imaging and alpha-PIXE portable techniques, </w:t>
            </w:r>
            <w:r w:rsidRPr="003B45A7">
              <w:rPr>
                <w:i/>
                <w:iCs/>
              </w:rPr>
              <w:t>Microchemical Journal</w:t>
            </w:r>
            <w:r w:rsidRPr="00F3421F">
              <w:t>, 124 (2016) 241–246.</w:t>
            </w:r>
          </w:p>
        </w:tc>
      </w:tr>
    </w:tbl>
    <w:p w14:paraId="474098CD" w14:textId="77777777" w:rsidR="004C74B2" w:rsidRPr="003B45A7" w:rsidRDefault="004C74B2">
      <w:pPr>
        <w:rPr>
          <w:lang w:val="en-US"/>
        </w:rPr>
      </w:pPr>
    </w:p>
    <w:p w14:paraId="1432BEC7" w14:textId="77777777" w:rsidR="00B3216B" w:rsidRPr="003B45A7" w:rsidRDefault="00B3216B">
      <w:pPr>
        <w:rPr>
          <w:lang w:val="en-US"/>
        </w:rPr>
      </w:pPr>
    </w:p>
    <w:p w14:paraId="79CD84A6" w14:textId="77777777" w:rsidR="00775BE2" w:rsidRPr="003B45A7" w:rsidRDefault="00775BE2">
      <w:pPr>
        <w:rPr>
          <w:lang w:val="en-US"/>
        </w:rPr>
      </w:pPr>
    </w:p>
    <w:p w14:paraId="6D417002" w14:textId="727E8E47" w:rsidR="00775BE2" w:rsidRPr="003B45A7" w:rsidRDefault="00775BE2">
      <w:pPr>
        <w:rPr>
          <w:lang w:val="en-US"/>
        </w:rPr>
      </w:pPr>
    </w:p>
    <w:sectPr w:rsidR="00775BE2" w:rsidRPr="003B45A7" w:rsidSect="000F114A">
      <w:pgSz w:w="11906" w:h="16838"/>
      <w:pgMar w:top="1440" w:right="851" w:bottom="1440"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204BBB"/>
    <w:multiLevelType w:val="hybridMultilevel"/>
    <w:tmpl w:val="2B4E9E0E"/>
    <w:lvl w:ilvl="0" w:tplc="8BC48A36">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1178573E"/>
    <w:multiLevelType w:val="hybridMultilevel"/>
    <w:tmpl w:val="41AE0A3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48F47F43"/>
    <w:multiLevelType w:val="hybridMultilevel"/>
    <w:tmpl w:val="148A6376"/>
    <w:lvl w:ilvl="0" w:tplc="2ACC295C">
      <w:start w:val="10"/>
      <w:numFmt w:val="bullet"/>
      <w:lvlText w:val="-"/>
      <w:lvlJc w:val="left"/>
      <w:pPr>
        <w:ind w:left="720" w:hanging="360"/>
      </w:pPr>
      <w:rPr>
        <w:rFonts w:ascii="Calibri" w:eastAsia="Times New Roman"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4F8D16EA"/>
    <w:multiLevelType w:val="hybridMultilevel"/>
    <w:tmpl w:val="AF4ECB0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66F92268"/>
    <w:multiLevelType w:val="hybridMultilevel"/>
    <w:tmpl w:val="06EC0878"/>
    <w:lvl w:ilvl="0" w:tplc="2ACC295C">
      <w:start w:val="10"/>
      <w:numFmt w:val="bullet"/>
      <w:lvlText w:val="-"/>
      <w:lvlJc w:val="left"/>
      <w:pPr>
        <w:ind w:left="720" w:hanging="360"/>
      </w:pPr>
      <w:rPr>
        <w:rFonts w:ascii="Calibri" w:eastAsia="Times New Roman"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73FA09E7"/>
    <w:multiLevelType w:val="hybridMultilevel"/>
    <w:tmpl w:val="094C0E3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795D4043"/>
    <w:multiLevelType w:val="hybridMultilevel"/>
    <w:tmpl w:val="32ECFAC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3"/>
  </w:num>
  <w:num w:numId="3">
    <w:abstractNumId w:val="1"/>
  </w:num>
  <w:num w:numId="4">
    <w:abstractNumId w:val="0"/>
  </w:num>
  <w:num w:numId="5">
    <w:abstractNumId w:val="4"/>
  </w:num>
  <w:num w:numId="6">
    <w:abstractNumId w:val="2"/>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hyphenationZone w:val="283"/>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0F114A"/>
    <w:rsid w:val="0000224C"/>
    <w:rsid w:val="0001321B"/>
    <w:rsid w:val="0001360D"/>
    <w:rsid w:val="00014159"/>
    <w:rsid w:val="00016887"/>
    <w:rsid w:val="00022C9C"/>
    <w:rsid w:val="00025281"/>
    <w:rsid w:val="00052C78"/>
    <w:rsid w:val="0007172C"/>
    <w:rsid w:val="00082AE9"/>
    <w:rsid w:val="000833E3"/>
    <w:rsid w:val="00084D09"/>
    <w:rsid w:val="000A266A"/>
    <w:rsid w:val="000C231E"/>
    <w:rsid w:val="000C7F78"/>
    <w:rsid w:val="000D4D59"/>
    <w:rsid w:val="000E1F29"/>
    <w:rsid w:val="000E55F8"/>
    <w:rsid w:val="000E5EB5"/>
    <w:rsid w:val="000F114A"/>
    <w:rsid w:val="000F41A5"/>
    <w:rsid w:val="00112FCB"/>
    <w:rsid w:val="00116895"/>
    <w:rsid w:val="0012145B"/>
    <w:rsid w:val="00126622"/>
    <w:rsid w:val="00133C11"/>
    <w:rsid w:val="00134639"/>
    <w:rsid w:val="00142594"/>
    <w:rsid w:val="00155E61"/>
    <w:rsid w:val="00166540"/>
    <w:rsid w:val="0016737E"/>
    <w:rsid w:val="00176B09"/>
    <w:rsid w:val="00193BE8"/>
    <w:rsid w:val="00195DA2"/>
    <w:rsid w:val="001A3160"/>
    <w:rsid w:val="001B331A"/>
    <w:rsid w:val="001B5D6D"/>
    <w:rsid w:val="001D4C56"/>
    <w:rsid w:val="001E0D36"/>
    <w:rsid w:val="001E22C8"/>
    <w:rsid w:val="001E2E81"/>
    <w:rsid w:val="001E3617"/>
    <w:rsid w:val="001F4893"/>
    <w:rsid w:val="001F7F77"/>
    <w:rsid w:val="002000D0"/>
    <w:rsid w:val="00212F69"/>
    <w:rsid w:val="00213EBA"/>
    <w:rsid w:val="00220EFD"/>
    <w:rsid w:val="002312C2"/>
    <w:rsid w:val="00241CD8"/>
    <w:rsid w:val="002545FE"/>
    <w:rsid w:val="00294090"/>
    <w:rsid w:val="002A3677"/>
    <w:rsid w:val="002A4C72"/>
    <w:rsid w:val="002B7252"/>
    <w:rsid w:val="002D376F"/>
    <w:rsid w:val="002D4289"/>
    <w:rsid w:val="002D5E26"/>
    <w:rsid w:val="002D6DF4"/>
    <w:rsid w:val="002E0079"/>
    <w:rsid w:val="002E2D83"/>
    <w:rsid w:val="002E2DFF"/>
    <w:rsid w:val="00303407"/>
    <w:rsid w:val="00312F18"/>
    <w:rsid w:val="00316D45"/>
    <w:rsid w:val="0032262E"/>
    <w:rsid w:val="003327FD"/>
    <w:rsid w:val="0033728C"/>
    <w:rsid w:val="00341A43"/>
    <w:rsid w:val="00342036"/>
    <w:rsid w:val="0035420A"/>
    <w:rsid w:val="00373160"/>
    <w:rsid w:val="00374DEF"/>
    <w:rsid w:val="00384662"/>
    <w:rsid w:val="003849B2"/>
    <w:rsid w:val="003A4271"/>
    <w:rsid w:val="003B3237"/>
    <w:rsid w:val="003B3EAC"/>
    <w:rsid w:val="003B45A7"/>
    <w:rsid w:val="003B5C33"/>
    <w:rsid w:val="003C00E9"/>
    <w:rsid w:val="003C24A8"/>
    <w:rsid w:val="003C7D3D"/>
    <w:rsid w:val="003F2C71"/>
    <w:rsid w:val="00403412"/>
    <w:rsid w:val="00403B47"/>
    <w:rsid w:val="00404B34"/>
    <w:rsid w:val="00416FB5"/>
    <w:rsid w:val="00423399"/>
    <w:rsid w:val="00430DE4"/>
    <w:rsid w:val="0043464D"/>
    <w:rsid w:val="00443776"/>
    <w:rsid w:val="0046520E"/>
    <w:rsid w:val="0047099F"/>
    <w:rsid w:val="0047415B"/>
    <w:rsid w:val="00483DDB"/>
    <w:rsid w:val="004904D0"/>
    <w:rsid w:val="00490E38"/>
    <w:rsid w:val="004C1916"/>
    <w:rsid w:val="004C36CB"/>
    <w:rsid w:val="004C37D7"/>
    <w:rsid w:val="004C74B2"/>
    <w:rsid w:val="004D2463"/>
    <w:rsid w:val="004E044C"/>
    <w:rsid w:val="004E1960"/>
    <w:rsid w:val="004E485A"/>
    <w:rsid w:val="005025C6"/>
    <w:rsid w:val="00502CE4"/>
    <w:rsid w:val="0050718B"/>
    <w:rsid w:val="00507A14"/>
    <w:rsid w:val="0051222D"/>
    <w:rsid w:val="005142CA"/>
    <w:rsid w:val="00517B2C"/>
    <w:rsid w:val="00533925"/>
    <w:rsid w:val="00542A5B"/>
    <w:rsid w:val="005508D3"/>
    <w:rsid w:val="00553E8E"/>
    <w:rsid w:val="0055497B"/>
    <w:rsid w:val="00561887"/>
    <w:rsid w:val="00572974"/>
    <w:rsid w:val="005919E2"/>
    <w:rsid w:val="005963DA"/>
    <w:rsid w:val="005A134B"/>
    <w:rsid w:val="005A5FB2"/>
    <w:rsid w:val="005A6873"/>
    <w:rsid w:val="005B25CD"/>
    <w:rsid w:val="005B4C6B"/>
    <w:rsid w:val="005B4EA4"/>
    <w:rsid w:val="005B65E2"/>
    <w:rsid w:val="005C01FE"/>
    <w:rsid w:val="005C6BDA"/>
    <w:rsid w:val="005D003E"/>
    <w:rsid w:val="005D4D43"/>
    <w:rsid w:val="005D73E0"/>
    <w:rsid w:val="005E62F9"/>
    <w:rsid w:val="005E6550"/>
    <w:rsid w:val="00622269"/>
    <w:rsid w:val="00630982"/>
    <w:rsid w:val="0063552E"/>
    <w:rsid w:val="00643008"/>
    <w:rsid w:val="0065606B"/>
    <w:rsid w:val="0066148B"/>
    <w:rsid w:val="00682F67"/>
    <w:rsid w:val="00683EBF"/>
    <w:rsid w:val="006850B2"/>
    <w:rsid w:val="0069749F"/>
    <w:rsid w:val="006A47D3"/>
    <w:rsid w:val="006B45CB"/>
    <w:rsid w:val="006C604E"/>
    <w:rsid w:val="006D2239"/>
    <w:rsid w:val="006D2DB5"/>
    <w:rsid w:val="006E0526"/>
    <w:rsid w:val="006E6FE2"/>
    <w:rsid w:val="006F27B4"/>
    <w:rsid w:val="0070047F"/>
    <w:rsid w:val="0070392B"/>
    <w:rsid w:val="0070605E"/>
    <w:rsid w:val="00717B17"/>
    <w:rsid w:val="0073160B"/>
    <w:rsid w:val="00742F0B"/>
    <w:rsid w:val="0075087E"/>
    <w:rsid w:val="0076347D"/>
    <w:rsid w:val="00764A83"/>
    <w:rsid w:val="00775BE2"/>
    <w:rsid w:val="0079745C"/>
    <w:rsid w:val="007F0E41"/>
    <w:rsid w:val="007F2CA1"/>
    <w:rsid w:val="00810DC7"/>
    <w:rsid w:val="00812584"/>
    <w:rsid w:val="0081364B"/>
    <w:rsid w:val="0083369D"/>
    <w:rsid w:val="00843D52"/>
    <w:rsid w:val="00873C80"/>
    <w:rsid w:val="00877A95"/>
    <w:rsid w:val="00877F87"/>
    <w:rsid w:val="008822D3"/>
    <w:rsid w:val="00887E78"/>
    <w:rsid w:val="00895D49"/>
    <w:rsid w:val="008A2F5E"/>
    <w:rsid w:val="008C146D"/>
    <w:rsid w:val="008C2FEE"/>
    <w:rsid w:val="008D5A0A"/>
    <w:rsid w:val="008D6E98"/>
    <w:rsid w:val="008E45D8"/>
    <w:rsid w:val="008F5E04"/>
    <w:rsid w:val="00902CBF"/>
    <w:rsid w:val="009036C8"/>
    <w:rsid w:val="0092236A"/>
    <w:rsid w:val="009314E0"/>
    <w:rsid w:val="00931FCD"/>
    <w:rsid w:val="00932410"/>
    <w:rsid w:val="00933969"/>
    <w:rsid w:val="0094237B"/>
    <w:rsid w:val="0094394C"/>
    <w:rsid w:val="00954464"/>
    <w:rsid w:val="009711D8"/>
    <w:rsid w:val="00972613"/>
    <w:rsid w:val="00976C36"/>
    <w:rsid w:val="0098099B"/>
    <w:rsid w:val="00987E37"/>
    <w:rsid w:val="009C6876"/>
    <w:rsid w:val="009D40C1"/>
    <w:rsid w:val="00A07AD2"/>
    <w:rsid w:val="00A11AE8"/>
    <w:rsid w:val="00A20AC0"/>
    <w:rsid w:val="00A24DAC"/>
    <w:rsid w:val="00A44D58"/>
    <w:rsid w:val="00A47BED"/>
    <w:rsid w:val="00A50F1B"/>
    <w:rsid w:val="00A62AF7"/>
    <w:rsid w:val="00A634C1"/>
    <w:rsid w:val="00A74029"/>
    <w:rsid w:val="00A749C0"/>
    <w:rsid w:val="00A775EB"/>
    <w:rsid w:val="00A85363"/>
    <w:rsid w:val="00A915AA"/>
    <w:rsid w:val="00A9364D"/>
    <w:rsid w:val="00A93B4A"/>
    <w:rsid w:val="00A95C53"/>
    <w:rsid w:val="00AB25F6"/>
    <w:rsid w:val="00AF384B"/>
    <w:rsid w:val="00B052C3"/>
    <w:rsid w:val="00B06BF5"/>
    <w:rsid w:val="00B06F51"/>
    <w:rsid w:val="00B17BB1"/>
    <w:rsid w:val="00B2457E"/>
    <w:rsid w:val="00B3216B"/>
    <w:rsid w:val="00B32915"/>
    <w:rsid w:val="00B34301"/>
    <w:rsid w:val="00B40D10"/>
    <w:rsid w:val="00B43078"/>
    <w:rsid w:val="00B465F3"/>
    <w:rsid w:val="00B53AFF"/>
    <w:rsid w:val="00B55E7A"/>
    <w:rsid w:val="00B60100"/>
    <w:rsid w:val="00B65747"/>
    <w:rsid w:val="00B87D36"/>
    <w:rsid w:val="00B91E27"/>
    <w:rsid w:val="00B93855"/>
    <w:rsid w:val="00B96896"/>
    <w:rsid w:val="00BD209D"/>
    <w:rsid w:val="00BD6CB3"/>
    <w:rsid w:val="00BE24F8"/>
    <w:rsid w:val="00BE2577"/>
    <w:rsid w:val="00BE2B44"/>
    <w:rsid w:val="00BE4F6F"/>
    <w:rsid w:val="00BF265E"/>
    <w:rsid w:val="00C02E72"/>
    <w:rsid w:val="00C05D67"/>
    <w:rsid w:val="00C072CB"/>
    <w:rsid w:val="00C147DF"/>
    <w:rsid w:val="00C149BC"/>
    <w:rsid w:val="00C14DEE"/>
    <w:rsid w:val="00C20731"/>
    <w:rsid w:val="00C2077C"/>
    <w:rsid w:val="00C246D1"/>
    <w:rsid w:val="00C31DD1"/>
    <w:rsid w:val="00C37CB2"/>
    <w:rsid w:val="00C37F06"/>
    <w:rsid w:val="00C578B8"/>
    <w:rsid w:val="00C617B1"/>
    <w:rsid w:val="00C70200"/>
    <w:rsid w:val="00C74704"/>
    <w:rsid w:val="00C95412"/>
    <w:rsid w:val="00C97846"/>
    <w:rsid w:val="00CA0902"/>
    <w:rsid w:val="00CA6400"/>
    <w:rsid w:val="00CB000B"/>
    <w:rsid w:val="00CB1B57"/>
    <w:rsid w:val="00CD0DCE"/>
    <w:rsid w:val="00CD6826"/>
    <w:rsid w:val="00CD7C00"/>
    <w:rsid w:val="00CE70BE"/>
    <w:rsid w:val="00CE7A60"/>
    <w:rsid w:val="00CF2EBC"/>
    <w:rsid w:val="00CF7338"/>
    <w:rsid w:val="00D0392F"/>
    <w:rsid w:val="00D05762"/>
    <w:rsid w:val="00D12FA8"/>
    <w:rsid w:val="00D27CEC"/>
    <w:rsid w:val="00D317D0"/>
    <w:rsid w:val="00D4466C"/>
    <w:rsid w:val="00D60F52"/>
    <w:rsid w:val="00D70FFA"/>
    <w:rsid w:val="00D7503C"/>
    <w:rsid w:val="00D85B7C"/>
    <w:rsid w:val="00D872C8"/>
    <w:rsid w:val="00D91FF1"/>
    <w:rsid w:val="00D94A50"/>
    <w:rsid w:val="00D97DF2"/>
    <w:rsid w:val="00DA0AE0"/>
    <w:rsid w:val="00DA2118"/>
    <w:rsid w:val="00DA27FC"/>
    <w:rsid w:val="00DB2F5E"/>
    <w:rsid w:val="00DE5F9D"/>
    <w:rsid w:val="00DE65AD"/>
    <w:rsid w:val="00DF08F6"/>
    <w:rsid w:val="00DF3B44"/>
    <w:rsid w:val="00DF50BB"/>
    <w:rsid w:val="00E0115A"/>
    <w:rsid w:val="00E03DD5"/>
    <w:rsid w:val="00E112C8"/>
    <w:rsid w:val="00E15BA3"/>
    <w:rsid w:val="00E2583C"/>
    <w:rsid w:val="00E42D7C"/>
    <w:rsid w:val="00E46FF7"/>
    <w:rsid w:val="00E47D10"/>
    <w:rsid w:val="00E513FE"/>
    <w:rsid w:val="00E52020"/>
    <w:rsid w:val="00E52CEB"/>
    <w:rsid w:val="00E615A2"/>
    <w:rsid w:val="00E74014"/>
    <w:rsid w:val="00E84009"/>
    <w:rsid w:val="00E85D82"/>
    <w:rsid w:val="00E87152"/>
    <w:rsid w:val="00EA6F54"/>
    <w:rsid w:val="00EB02DF"/>
    <w:rsid w:val="00EB0A0F"/>
    <w:rsid w:val="00EB295B"/>
    <w:rsid w:val="00EC3D6E"/>
    <w:rsid w:val="00EE77B9"/>
    <w:rsid w:val="00EF0A98"/>
    <w:rsid w:val="00EF515C"/>
    <w:rsid w:val="00EF60BE"/>
    <w:rsid w:val="00EF7262"/>
    <w:rsid w:val="00F171ED"/>
    <w:rsid w:val="00F2317F"/>
    <w:rsid w:val="00F2484D"/>
    <w:rsid w:val="00F26AE4"/>
    <w:rsid w:val="00F3421F"/>
    <w:rsid w:val="00F3432F"/>
    <w:rsid w:val="00F34724"/>
    <w:rsid w:val="00F37279"/>
    <w:rsid w:val="00F375BE"/>
    <w:rsid w:val="00F46B6B"/>
    <w:rsid w:val="00F70DB9"/>
    <w:rsid w:val="00F733FA"/>
    <w:rsid w:val="00F75A13"/>
    <w:rsid w:val="00F80DAF"/>
    <w:rsid w:val="00F95C2D"/>
    <w:rsid w:val="00FB0652"/>
    <w:rsid w:val="00FB13D9"/>
    <w:rsid w:val="00FF5F3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14:docId w14:val="10162B85"/>
  <w15:chartTrackingRefBased/>
  <w15:docId w15:val="{A10BCF11-A5B8-4289-AEC2-1808844A1C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Pr>
      <w:sz w:val="24"/>
      <w:szCs w:val="24"/>
      <w:lang w:val="en-GB" w:eastAsia="en-GB"/>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styleId="Grigliatabella">
    <w:name w:val="Table Grid"/>
    <w:basedOn w:val="Tabellanormale"/>
    <w:rsid w:val="000F114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foelenco">
    <w:name w:val="List Paragraph"/>
    <w:basedOn w:val="Normale"/>
    <w:qFormat/>
    <w:rsid w:val="00C246D1"/>
    <w:pPr>
      <w:spacing w:after="200" w:line="276" w:lineRule="auto"/>
      <w:ind w:left="720"/>
      <w:contextualSpacing/>
    </w:pPr>
    <w:rPr>
      <w:rFonts w:ascii="Calibri" w:eastAsia="Calibri" w:hAnsi="Calibri"/>
      <w:sz w:val="22"/>
      <w:szCs w:val="22"/>
      <w:lang w:val="it-IT" w:eastAsia="en-US"/>
    </w:rPr>
  </w:style>
  <w:style w:type="paragraph" w:styleId="Testofumetto">
    <w:name w:val="Balloon Text"/>
    <w:basedOn w:val="Normale"/>
    <w:link w:val="TestofumettoCarattere"/>
    <w:rsid w:val="00403412"/>
    <w:rPr>
      <w:rFonts w:ascii="Segoe UI" w:hAnsi="Segoe UI" w:cs="Segoe UI"/>
      <w:sz w:val="18"/>
      <w:szCs w:val="18"/>
    </w:rPr>
  </w:style>
  <w:style w:type="character" w:customStyle="1" w:styleId="TestofumettoCarattere">
    <w:name w:val="Testo fumetto Carattere"/>
    <w:link w:val="Testofumetto"/>
    <w:rsid w:val="00403412"/>
    <w:rPr>
      <w:rFonts w:ascii="Segoe UI" w:hAnsi="Segoe UI" w:cs="Segoe UI"/>
      <w:sz w:val="18"/>
      <w:szCs w:val="18"/>
    </w:rPr>
  </w:style>
  <w:style w:type="character" w:customStyle="1" w:styleId="tlid-translation">
    <w:name w:val="tlid-translation"/>
    <w:basedOn w:val="Carpredefinitoparagrafo"/>
    <w:rsid w:val="001B5D6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4163211">
      <w:bodyDiv w:val="1"/>
      <w:marLeft w:val="0"/>
      <w:marRight w:val="0"/>
      <w:marTop w:val="0"/>
      <w:marBottom w:val="0"/>
      <w:divBdr>
        <w:top w:val="none" w:sz="0" w:space="0" w:color="auto"/>
        <w:left w:val="none" w:sz="0" w:space="0" w:color="auto"/>
        <w:bottom w:val="none" w:sz="0" w:space="0" w:color="auto"/>
        <w:right w:val="none" w:sz="0" w:space="0" w:color="auto"/>
      </w:divBdr>
      <w:divsChild>
        <w:div w:id="872157876">
          <w:marLeft w:val="0"/>
          <w:marRight w:val="0"/>
          <w:marTop w:val="0"/>
          <w:marBottom w:val="0"/>
          <w:divBdr>
            <w:top w:val="none" w:sz="0" w:space="0" w:color="auto"/>
            <w:left w:val="none" w:sz="0" w:space="0" w:color="auto"/>
            <w:bottom w:val="none" w:sz="0" w:space="0" w:color="auto"/>
            <w:right w:val="none" w:sz="0" w:space="0" w:color="auto"/>
          </w:divBdr>
        </w:div>
      </w:divsChild>
    </w:div>
    <w:div w:id="96294554">
      <w:bodyDiv w:val="1"/>
      <w:marLeft w:val="0"/>
      <w:marRight w:val="0"/>
      <w:marTop w:val="0"/>
      <w:marBottom w:val="0"/>
      <w:divBdr>
        <w:top w:val="none" w:sz="0" w:space="0" w:color="auto"/>
        <w:left w:val="none" w:sz="0" w:space="0" w:color="auto"/>
        <w:bottom w:val="none" w:sz="0" w:space="0" w:color="auto"/>
        <w:right w:val="none" w:sz="0" w:space="0" w:color="auto"/>
      </w:divBdr>
    </w:div>
    <w:div w:id="166680549">
      <w:bodyDiv w:val="1"/>
      <w:marLeft w:val="0"/>
      <w:marRight w:val="0"/>
      <w:marTop w:val="0"/>
      <w:marBottom w:val="0"/>
      <w:divBdr>
        <w:top w:val="none" w:sz="0" w:space="0" w:color="auto"/>
        <w:left w:val="none" w:sz="0" w:space="0" w:color="auto"/>
        <w:bottom w:val="none" w:sz="0" w:space="0" w:color="auto"/>
        <w:right w:val="none" w:sz="0" w:space="0" w:color="auto"/>
      </w:divBdr>
      <w:divsChild>
        <w:div w:id="254870091">
          <w:marLeft w:val="0"/>
          <w:marRight w:val="0"/>
          <w:marTop w:val="0"/>
          <w:marBottom w:val="0"/>
          <w:divBdr>
            <w:top w:val="none" w:sz="0" w:space="0" w:color="auto"/>
            <w:left w:val="none" w:sz="0" w:space="0" w:color="auto"/>
            <w:bottom w:val="none" w:sz="0" w:space="0" w:color="auto"/>
            <w:right w:val="none" w:sz="0" w:space="0" w:color="auto"/>
          </w:divBdr>
        </w:div>
      </w:divsChild>
    </w:div>
    <w:div w:id="380861739">
      <w:bodyDiv w:val="1"/>
      <w:marLeft w:val="0"/>
      <w:marRight w:val="0"/>
      <w:marTop w:val="0"/>
      <w:marBottom w:val="0"/>
      <w:divBdr>
        <w:top w:val="none" w:sz="0" w:space="0" w:color="auto"/>
        <w:left w:val="none" w:sz="0" w:space="0" w:color="auto"/>
        <w:bottom w:val="none" w:sz="0" w:space="0" w:color="auto"/>
        <w:right w:val="none" w:sz="0" w:space="0" w:color="auto"/>
      </w:divBdr>
      <w:divsChild>
        <w:div w:id="912466316">
          <w:marLeft w:val="0"/>
          <w:marRight w:val="0"/>
          <w:marTop w:val="0"/>
          <w:marBottom w:val="0"/>
          <w:divBdr>
            <w:top w:val="none" w:sz="0" w:space="0" w:color="auto"/>
            <w:left w:val="none" w:sz="0" w:space="0" w:color="auto"/>
            <w:bottom w:val="none" w:sz="0" w:space="0" w:color="auto"/>
            <w:right w:val="none" w:sz="0" w:space="0" w:color="auto"/>
          </w:divBdr>
        </w:div>
      </w:divsChild>
    </w:div>
    <w:div w:id="438138350">
      <w:bodyDiv w:val="1"/>
      <w:marLeft w:val="0"/>
      <w:marRight w:val="0"/>
      <w:marTop w:val="0"/>
      <w:marBottom w:val="0"/>
      <w:divBdr>
        <w:top w:val="none" w:sz="0" w:space="0" w:color="auto"/>
        <w:left w:val="none" w:sz="0" w:space="0" w:color="auto"/>
        <w:bottom w:val="none" w:sz="0" w:space="0" w:color="auto"/>
        <w:right w:val="none" w:sz="0" w:space="0" w:color="auto"/>
      </w:divBdr>
      <w:divsChild>
        <w:div w:id="1664890474">
          <w:marLeft w:val="0"/>
          <w:marRight w:val="0"/>
          <w:marTop w:val="0"/>
          <w:marBottom w:val="0"/>
          <w:divBdr>
            <w:top w:val="none" w:sz="0" w:space="0" w:color="auto"/>
            <w:left w:val="none" w:sz="0" w:space="0" w:color="auto"/>
            <w:bottom w:val="none" w:sz="0" w:space="0" w:color="auto"/>
            <w:right w:val="none" w:sz="0" w:space="0" w:color="auto"/>
          </w:divBdr>
        </w:div>
      </w:divsChild>
    </w:div>
    <w:div w:id="678582292">
      <w:bodyDiv w:val="1"/>
      <w:marLeft w:val="0"/>
      <w:marRight w:val="0"/>
      <w:marTop w:val="0"/>
      <w:marBottom w:val="0"/>
      <w:divBdr>
        <w:top w:val="none" w:sz="0" w:space="0" w:color="auto"/>
        <w:left w:val="none" w:sz="0" w:space="0" w:color="auto"/>
        <w:bottom w:val="none" w:sz="0" w:space="0" w:color="auto"/>
        <w:right w:val="none" w:sz="0" w:space="0" w:color="auto"/>
      </w:divBdr>
      <w:divsChild>
        <w:div w:id="1379940353">
          <w:marLeft w:val="0"/>
          <w:marRight w:val="0"/>
          <w:marTop w:val="0"/>
          <w:marBottom w:val="0"/>
          <w:divBdr>
            <w:top w:val="none" w:sz="0" w:space="0" w:color="auto"/>
            <w:left w:val="none" w:sz="0" w:space="0" w:color="auto"/>
            <w:bottom w:val="none" w:sz="0" w:space="0" w:color="auto"/>
            <w:right w:val="none" w:sz="0" w:space="0" w:color="auto"/>
          </w:divBdr>
        </w:div>
      </w:divsChild>
    </w:div>
    <w:div w:id="1103265516">
      <w:bodyDiv w:val="1"/>
      <w:marLeft w:val="0"/>
      <w:marRight w:val="0"/>
      <w:marTop w:val="0"/>
      <w:marBottom w:val="0"/>
      <w:divBdr>
        <w:top w:val="none" w:sz="0" w:space="0" w:color="auto"/>
        <w:left w:val="none" w:sz="0" w:space="0" w:color="auto"/>
        <w:bottom w:val="none" w:sz="0" w:space="0" w:color="auto"/>
        <w:right w:val="none" w:sz="0" w:space="0" w:color="auto"/>
      </w:divBdr>
    </w:div>
    <w:div w:id="1355764393">
      <w:bodyDiv w:val="1"/>
      <w:marLeft w:val="0"/>
      <w:marRight w:val="0"/>
      <w:marTop w:val="0"/>
      <w:marBottom w:val="0"/>
      <w:divBdr>
        <w:top w:val="none" w:sz="0" w:space="0" w:color="auto"/>
        <w:left w:val="none" w:sz="0" w:space="0" w:color="auto"/>
        <w:bottom w:val="none" w:sz="0" w:space="0" w:color="auto"/>
        <w:right w:val="none" w:sz="0" w:space="0" w:color="auto"/>
      </w:divBdr>
      <w:divsChild>
        <w:div w:id="565461479">
          <w:marLeft w:val="0"/>
          <w:marRight w:val="0"/>
          <w:marTop w:val="0"/>
          <w:marBottom w:val="0"/>
          <w:divBdr>
            <w:top w:val="none" w:sz="0" w:space="0" w:color="auto"/>
            <w:left w:val="none" w:sz="0" w:space="0" w:color="auto"/>
            <w:bottom w:val="none" w:sz="0" w:space="0" w:color="auto"/>
            <w:right w:val="none" w:sz="0" w:space="0" w:color="auto"/>
          </w:divBdr>
        </w:div>
      </w:divsChild>
    </w:div>
    <w:div w:id="1434933384">
      <w:bodyDiv w:val="1"/>
      <w:marLeft w:val="0"/>
      <w:marRight w:val="0"/>
      <w:marTop w:val="0"/>
      <w:marBottom w:val="0"/>
      <w:divBdr>
        <w:top w:val="none" w:sz="0" w:space="0" w:color="auto"/>
        <w:left w:val="none" w:sz="0" w:space="0" w:color="auto"/>
        <w:bottom w:val="none" w:sz="0" w:space="0" w:color="auto"/>
        <w:right w:val="none" w:sz="0" w:space="0" w:color="auto"/>
      </w:divBdr>
    </w:div>
    <w:div w:id="1435787971">
      <w:bodyDiv w:val="1"/>
      <w:marLeft w:val="0"/>
      <w:marRight w:val="0"/>
      <w:marTop w:val="0"/>
      <w:marBottom w:val="0"/>
      <w:divBdr>
        <w:top w:val="none" w:sz="0" w:space="0" w:color="auto"/>
        <w:left w:val="none" w:sz="0" w:space="0" w:color="auto"/>
        <w:bottom w:val="none" w:sz="0" w:space="0" w:color="auto"/>
        <w:right w:val="none" w:sz="0" w:space="0" w:color="auto"/>
      </w:divBdr>
      <w:divsChild>
        <w:div w:id="899365878">
          <w:marLeft w:val="0"/>
          <w:marRight w:val="0"/>
          <w:marTop w:val="0"/>
          <w:marBottom w:val="0"/>
          <w:divBdr>
            <w:top w:val="none" w:sz="0" w:space="0" w:color="auto"/>
            <w:left w:val="none" w:sz="0" w:space="0" w:color="auto"/>
            <w:bottom w:val="none" w:sz="0" w:space="0" w:color="auto"/>
            <w:right w:val="none" w:sz="0" w:space="0" w:color="auto"/>
          </w:divBdr>
        </w:div>
      </w:divsChild>
    </w:div>
    <w:div w:id="1588922507">
      <w:bodyDiv w:val="1"/>
      <w:marLeft w:val="0"/>
      <w:marRight w:val="0"/>
      <w:marTop w:val="0"/>
      <w:marBottom w:val="0"/>
      <w:divBdr>
        <w:top w:val="none" w:sz="0" w:space="0" w:color="auto"/>
        <w:left w:val="none" w:sz="0" w:space="0" w:color="auto"/>
        <w:bottom w:val="none" w:sz="0" w:space="0" w:color="auto"/>
        <w:right w:val="none" w:sz="0" w:space="0" w:color="auto"/>
      </w:divBdr>
      <w:divsChild>
        <w:div w:id="153645143">
          <w:marLeft w:val="0"/>
          <w:marRight w:val="0"/>
          <w:marTop w:val="0"/>
          <w:marBottom w:val="0"/>
          <w:divBdr>
            <w:top w:val="none" w:sz="0" w:space="0" w:color="auto"/>
            <w:left w:val="none" w:sz="0" w:space="0" w:color="auto"/>
            <w:bottom w:val="none" w:sz="0" w:space="0" w:color="auto"/>
            <w:right w:val="none" w:sz="0" w:space="0" w:color="auto"/>
          </w:divBdr>
        </w:div>
      </w:divsChild>
    </w:div>
    <w:div w:id="1628777971">
      <w:bodyDiv w:val="1"/>
      <w:marLeft w:val="0"/>
      <w:marRight w:val="0"/>
      <w:marTop w:val="0"/>
      <w:marBottom w:val="0"/>
      <w:divBdr>
        <w:top w:val="none" w:sz="0" w:space="0" w:color="auto"/>
        <w:left w:val="none" w:sz="0" w:space="0" w:color="auto"/>
        <w:bottom w:val="none" w:sz="0" w:space="0" w:color="auto"/>
        <w:right w:val="none" w:sz="0" w:space="0" w:color="auto"/>
      </w:divBdr>
      <w:divsChild>
        <w:div w:id="61412666">
          <w:marLeft w:val="0"/>
          <w:marRight w:val="0"/>
          <w:marTop w:val="0"/>
          <w:marBottom w:val="0"/>
          <w:divBdr>
            <w:top w:val="none" w:sz="0" w:space="0" w:color="auto"/>
            <w:left w:val="none" w:sz="0" w:space="0" w:color="auto"/>
            <w:bottom w:val="none" w:sz="0" w:space="0" w:color="auto"/>
            <w:right w:val="none" w:sz="0" w:space="0" w:color="auto"/>
          </w:divBdr>
        </w:div>
      </w:divsChild>
    </w:div>
    <w:div w:id="1689790080">
      <w:bodyDiv w:val="1"/>
      <w:marLeft w:val="0"/>
      <w:marRight w:val="0"/>
      <w:marTop w:val="0"/>
      <w:marBottom w:val="0"/>
      <w:divBdr>
        <w:top w:val="none" w:sz="0" w:space="0" w:color="auto"/>
        <w:left w:val="none" w:sz="0" w:space="0" w:color="auto"/>
        <w:bottom w:val="none" w:sz="0" w:space="0" w:color="auto"/>
        <w:right w:val="none" w:sz="0" w:space="0" w:color="auto"/>
      </w:divBdr>
      <w:divsChild>
        <w:div w:id="182865981">
          <w:marLeft w:val="0"/>
          <w:marRight w:val="0"/>
          <w:marTop w:val="0"/>
          <w:marBottom w:val="0"/>
          <w:divBdr>
            <w:top w:val="none" w:sz="0" w:space="0" w:color="auto"/>
            <w:left w:val="none" w:sz="0" w:space="0" w:color="auto"/>
            <w:bottom w:val="none" w:sz="0" w:space="0" w:color="auto"/>
            <w:right w:val="none" w:sz="0" w:space="0" w:color="auto"/>
          </w:divBdr>
        </w:div>
      </w:divsChild>
    </w:div>
    <w:div w:id="1797335654">
      <w:bodyDiv w:val="1"/>
      <w:marLeft w:val="0"/>
      <w:marRight w:val="0"/>
      <w:marTop w:val="0"/>
      <w:marBottom w:val="0"/>
      <w:divBdr>
        <w:top w:val="none" w:sz="0" w:space="0" w:color="auto"/>
        <w:left w:val="none" w:sz="0" w:space="0" w:color="auto"/>
        <w:bottom w:val="none" w:sz="0" w:space="0" w:color="auto"/>
        <w:right w:val="none" w:sz="0" w:space="0" w:color="auto"/>
      </w:divBdr>
      <w:divsChild>
        <w:div w:id="658654759">
          <w:marLeft w:val="0"/>
          <w:marRight w:val="0"/>
          <w:marTop w:val="0"/>
          <w:marBottom w:val="0"/>
          <w:divBdr>
            <w:top w:val="none" w:sz="0" w:space="0" w:color="auto"/>
            <w:left w:val="none" w:sz="0" w:space="0" w:color="auto"/>
            <w:bottom w:val="none" w:sz="0" w:space="0" w:color="auto"/>
            <w:right w:val="none" w:sz="0" w:space="0" w:color="auto"/>
          </w:divBdr>
        </w:div>
      </w:divsChild>
    </w:div>
    <w:div w:id="2117939208">
      <w:bodyDiv w:val="1"/>
      <w:marLeft w:val="0"/>
      <w:marRight w:val="0"/>
      <w:marTop w:val="0"/>
      <w:marBottom w:val="0"/>
      <w:divBdr>
        <w:top w:val="none" w:sz="0" w:space="0" w:color="auto"/>
        <w:left w:val="none" w:sz="0" w:space="0" w:color="auto"/>
        <w:bottom w:val="none" w:sz="0" w:space="0" w:color="auto"/>
        <w:right w:val="none" w:sz="0" w:space="0" w:color="auto"/>
      </w:divBdr>
      <w:divsChild>
        <w:div w:id="179400905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355</TotalTime>
  <Pages>3</Pages>
  <Words>1036</Words>
  <Characters>6066</Characters>
  <Application>Microsoft Office Word</Application>
  <DocSecurity>0</DocSecurity>
  <Lines>50</Lines>
  <Paragraphs>14</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XRF IMAGING</vt:lpstr>
      <vt:lpstr>XRF IMAGING</vt:lpstr>
    </vt:vector>
  </TitlesOfParts>
  <Company>Hewlett-Packard Company</Company>
  <LinksUpToDate>false</LinksUpToDate>
  <CharactersWithSpaces>7088</CharactersWithSpaces>
  <SharedDoc>false</SharedDoc>
  <HLinks>
    <vt:vector size="12" baseType="variant">
      <vt:variant>
        <vt:i4>4915312</vt:i4>
      </vt:variant>
      <vt:variant>
        <vt:i4>3</vt:i4>
      </vt:variant>
      <vt:variant>
        <vt:i4>0</vt:i4>
      </vt:variant>
      <vt:variant>
        <vt:i4>5</vt:i4>
      </vt:variant>
      <vt:variant>
        <vt:lpwstr>https://www.researchgate.net/publication/283337652_Macro_X-ray_fluorescence_MA-XRF_scanning_of_illuminated_manuscript_fragments_Potentialities_and_challenges?ev=prf_pub</vt:lpwstr>
      </vt:variant>
      <vt:variant>
        <vt:lpwstr/>
      </vt:variant>
      <vt:variant>
        <vt:i4>131149</vt:i4>
      </vt:variant>
      <vt:variant>
        <vt:i4>0</vt:i4>
      </vt:variant>
      <vt:variant>
        <vt:i4>0</vt:i4>
      </vt:variant>
      <vt:variant>
        <vt:i4>5</vt:i4>
      </vt:variant>
      <vt:variant>
        <vt:lpwstr>https://www.researchgate.net/researcher/29729431_Geert_Van_der_Snickt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XRF IMAGING</dc:title>
  <dc:subject/>
  <dc:creator>user</dc:creator>
  <cp:keywords/>
  <dc:description/>
  <cp:lastModifiedBy>Claudia Caliri</cp:lastModifiedBy>
  <cp:revision>65</cp:revision>
  <dcterms:created xsi:type="dcterms:W3CDTF">2020-10-29T21:03:00Z</dcterms:created>
  <dcterms:modified xsi:type="dcterms:W3CDTF">2020-11-04T13:25:00Z</dcterms:modified>
</cp:coreProperties>
</file>