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202E59" w14:paraId="3D1A8BA4" w14:textId="77777777" w:rsidTr="00E317B9">
        <w:trPr>
          <w:trHeight w:val="554"/>
        </w:trPr>
        <w:tc>
          <w:tcPr>
            <w:tcW w:w="9857" w:type="dxa"/>
            <w:vAlign w:val="center"/>
          </w:tcPr>
          <w:p w14:paraId="5B61417F" w14:textId="77777777" w:rsidR="00202E59" w:rsidRDefault="003945EB" w:rsidP="00E317B9">
            <w:pPr>
              <w:pStyle w:val="TableParagraph"/>
              <w:spacing w:line="268" w:lineRule="exact"/>
              <w:ind w:left="1226" w:right="1219"/>
              <w:jc w:val="center"/>
              <w:rPr>
                <w:sz w:val="24"/>
              </w:rPr>
            </w:pPr>
            <w:r>
              <w:rPr>
                <w:b/>
                <w:sz w:val="24"/>
              </w:rPr>
              <w:t xml:space="preserve">STRUMENTAZIONE MOLAB: </w:t>
            </w:r>
            <w:r>
              <w:rPr>
                <w:sz w:val="24"/>
              </w:rPr>
              <w:t>DESCRIZIONE DELLO STRUMENTO</w:t>
            </w:r>
          </w:p>
        </w:tc>
      </w:tr>
      <w:tr w:rsidR="00202E59" w14:paraId="4A62B8AF" w14:textId="77777777" w:rsidTr="00E317B9">
        <w:trPr>
          <w:trHeight w:val="275"/>
        </w:trPr>
        <w:tc>
          <w:tcPr>
            <w:tcW w:w="9857" w:type="dxa"/>
            <w:vAlign w:val="center"/>
          </w:tcPr>
          <w:p w14:paraId="3E6BD8A3" w14:textId="51FDEE71" w:rsidR="00202E59" w:rsidRDefault="003945EB" w:rsidP="00E317B9">
            <w:pPr>
              <w:pStyle w:val="TableParagraph"/>
              <w:spacing w:line="256" w:lineRule="exact"/>
              <w:ind w:left="1225" w:right="1219"/>
              <w:jc w:val="center"/>
              <w:rPr>
                <w:b/>
                <w:sz w:val="24"/>
              </w:rPr>
            </w:pPr>
            <w:r>
              <w:rPr>
                <w:b/>
                <w:sz w:val="24"/>
              </w:rPr>
              <w:t xml:space="preserve">LABORATORIO: </w:t>
            </w:r>
            <w:proofErr w:type="spellStart"/>
            <w:r>
              <w:rPr>
                <w:b/>
                <w:sz w:val="24"/>
              </w:rPr>
              <w:t>SMAArt</w:t>
            </w:r>
            <w:proofErr w:type="spellEnd"/>
            <w:r>
              <w:rPr>
                <w:b/>
                <w:sz w:val="24"/>
              </w:rPr>
              <w:t>-UNIPG</w:t>
            </w:r>
          </w:p>
        </w:tc>
      </w:tr>
      <w:tr w:rsidR="00202E59" w14:paraId="1B2968C4" w14:textId="77777777" w:rsidTr="00E317B9">
        <w:trPr>
          <w:trHeight w:val="1379"/>
        </w:trPr>
        <w:tc>
          <w:tcPr>
            <w:tcW w:w="9857" w:type="dxa"/>
            <w:vAlign w:val="center"/>
          </w:tcPr>
          <w:p w14:paraId="4853F8C0" w14:textId="77777777" w:rsidR="00202E59" w:rsidRDefault="003945EB" w:rsidP="00E317B9">
            <w:pPr>
              <w:pStyle w:val="TableParagraph"/>
              <w:spacing w:line="270" w:lineRule="exact"/>
              <w:rPr>
                <w:b/>
                <w:sz w:val="24"/>
              </w:rPr>
            </w:pPr>
            <w:r>
              <w:rPr>
                <w:b/>
                <w:sz w:val="24"/>
              </w:rPr>
              <w:t>NOME STRUMENTO + AZIENDA PRODUTTRICE</w:t>
            </w:r>
          </w:p>
          <w:p w14:paraId="587ABC29" w14:textId="77777777" w:rsidR="00202E59" w:rsidRDefault="00202E59" w:rsidP="00E317B9">
            <w:pPr>
              <w:pStyle w:val="TableParagraph"/>
              <w:spacing w:before="6"/>
              <w:ind w:left="0"/>
              <w:rPr>
                <w:sz w:val="23"/>
              </w:rPr>
            </w:pPr>
          </w:p>
          <w:p w14:paraId="779145A3" w14:textId="77777777" w:rsidR="00202E59" w:rsidRDefault="003945EB" w:rsidP="00E317B9">
            <w:pPr>
              <w:pStyle w:val="TableParagraph"/>
              <w:rPr>
                <w:sz w:val="24"/>
              </w:rPr>
            </w:pPr>
            <w:r>
              <w:rPr>
                <w:sz w:val="24"/>
              </w:rPr>
              <w:t xml:space="preserve">Sistema portatile per imaging iper-spettrale nel </w:t>
            </w:r>
            <w:proofErr w:type="spellStart"/>
            <w:r>
              <w:rPr>
                <w:sz w:val="24"/>
              </w:rPr>
              <w:t>visible</w:t>
            </w:r>
            <w:proofErr w:type="spellEnd"/>
            <w:r>
              <w:rPr>
                <w:sz w:val="24"/>
              </w:rPr>
              <w:t xml:space="preserve"> (VIS) (Surface </w:t>
            </w:r>
            <w:proofErr w:type="spellStart"/>
            <w:r>
              <w:rPr>
                <w:sz w:val="24"/>
              </w:rPr>
              <w:t>Optics</w:t>
            </w:r>
            <w:proofErr w:type="spellEnd"/>
            <w:r>
              <w:rPr>
                <w:sz w:val="24"/>
              </w:rPr>
              <w:t xml:space="preserve"> SOC710-VP </w:t>
            </w:r>
            <w:proofErr w:type="spellStart"/>
            <w:r>
              <w:rPr>
                <w:sz w:val="24"/>
              </w:rPr>
              <w:t>Hyperspectral</w:t>
            </w:r>
            <w:proofErr w:type="spellEnd"/>
            <w:r>
              <w:rPr>
                <w:sz w:val="24"/>
              </w:rPr>
              <w:t xml:space="preserve"> </w:t>
            </w:r>
            <w:proofErr w:type="spellStart"/>
            <w:r>
              <w:rPr>
                <w:sz w:val="24"/>
              </w:rPr>
              <w:t>Imager</w:t>
            </w:r>
            <w:proofErr w:type="spellEnd"/>
            <w:r>
              <w:rPr>
                <w:sz w:val="24"/>
              </w:rPr>
              <w:t>)</w:t>
            </w:r>
          </w:p>
        </w:tc>
      </w:tr>
      <w:tr w:rsidR="00202E59" w14:paraId="198DE9DF" w14:textId="77777777" w:rsidTr="00E317B9">
        <w:trPr>
          <w:trHeight w:val="4692"/>
        </w:trPr>
        <w:tc>
          <w:tcPr>
            <w:tcW w:w="9857" w:type="dxa"/>
            <w:vAlign w:val="center"/>
          </w:tcPr>
          <w:p w14:paraId="1EA4E612" w14:textId="45A408D8" w:rsidR="00202E59" w:rsidRDefault="0050638A" w:rsidP="00E317B9">
            <w:pPr>
              <w:pStyle w:val="TableParagraph"/>
              <w:spacing w:line="268" w:lineRule="exact"/>
              <w:jc w:val="both"/>
              <w:rPr>
                <w:b/>
                <w:sz w:val="24"/>
              </w:rPr>
            </w:pPr>
            <w:r>
              <w:rPr>
                <w:b/>
                <w:sz w:val="24"/>
              </w:rPr>
              <w:t>INFORMAZIONI GENERALI</w:t>
            </w:r>
            <w:r w:rsidR="003945EB">
              <w:rPr>
                <w:b/>
                <w:sz w:val="24"/>
              </w:rPr>
              <w:t>:</w:t>
            </w:r>
          </w:p>
          <w:p w14:paraId="548EA8C5" w14:textId="77777777" w:rsidR="00E317B9" w:rsidRDefault="00E317B9" w:rsidP="00E317B9">
            <w:pPr>
              <w:pStyle w:val="TableParagraph"/>
              <w:spacing w:line="268" w:lineRule="exact"/>
              <w:jc w:val="both"/>
              <w:rPr>
                <w:b/>
                <w:sz w:val="24"/>
              </w:rPr>
            </w:pPr>
          </w:p>
          <w:p w14:paraId="371B033A" w14:textId="74282A91" w:rsidR="00202E59" w:rsidRDefault="003945EB" w:rsidP="00E317B9">
            <w:pPr>
              <w:pStyle w:val="TableParagraph"/>
              <w:ind w:right="100"/>
              <w:jc w:val="both"/>
              <w:rPr>
                <w:sz w:val="24"/>
              </w:rPr>
            </w:pPr>
            <w:r>
              <w:rPr>
                <w:sz w:val="24"/>
              </w:rPr>
              <w:t xml:space="preserve">L’imaging iper-spettrale si basa sulla spettroscopia </w:t>
            </w:r>
            <w:r w:rsidR="00AE7E66">
              <w:rPr>
                <w:sz w:val="24"/>
              </w:rPr>
              <w:t>in riflessione</w:t>
            </w:r>
            <w:r w:rsidR="00F551CA">
              <w:rPr>
                <w:sz w:val="24"/>
              </w:rPr>
              <w:t xml:space="preserve"> che consente di registrare sia la luce riflessa che quella emessa da una superficie opportunamente illuminata, permettendo</w:t>
            </w:r>
            <w:r>
              <w:rPr>
                <w:sz w:val="24"/>
              </w:rPr>
              <w:t xml:space="preserve"> la raccolta di spettri </w:t>
            </w:r>
            <w:proofErr w:type="gramStart"/>
            <w:r>
              <w:rPr>
                <w:sz w:val="24"/>
              </w:rPr>
              <w:t>di in</w:t>
            </w:r>
            <w:proofErr w:type="gramEnd"/>
            <w:r>
              <w:rPr>
                <w:sz w:val="24"/>
              </w:rPr>
              <w:t xml:space="preserve"> ogni punto del campo visivo. </w:t>
            </w:r>
            <w:r>
              <w:rPr>
                <w:spacing w:val="-3"/>
                <w:sz w:val="24"/>
              </w:rPr>
              <w:t xml:space="preserve">Il </w:t>
            </w:r>
            <w:r>
              <w:rPr>
                <w:sz w:val="24"/>
              </w:rPr>
              <w:t>cubo, che costituisce l’immagine iper</w:t>
            </w:r>
            <w:r w:rsidR="00AE7E66">
              <w:rPr>
                <w:sz w:val="24"/>
              </w:rPr>
              <w:t>-</w:t>
            </w:r>
            <w:r>
              <w:rPr>
                <w:sz w:val="24"/>
              </w:rPr>
              <w:t xml:space="preserve">spettrale, così ottenuto contiene sia gli spettri </w:t>
            </w:r>
            <w:r w:rsidR="00F551CA">
              <w:rPr>
                <w:sz w:val="24"/>
              </w:rPr>
              <w:t>(</w:t>
            </w:r>
            <w:r>
              <w:rPr>
                <w:sz w:val="24"/>
              </w:rPr>
              <w:t>di rifle</w:t>
            </w:r>
            <w:r w:rsidR="00AE7E66">
              <w:rPr>
                <w:sz w:val="24"/>
              </w:rPr>
              <w:t>ttanza</w:t>
            </w:r>
            <w:r w:rsidR="00F551CA">
              <w:rPr>
                <w:sz w:val="24"/>
              </w:rPr>
              <w:t xml:space="preserve"> o di fluorescenza)</w:t>
            </w:r>
            <w:r>
              <w:rPr>
                <w:sz w:val="24"/>
              </w:rPr>
              <w:t xml:space="preserve"> che la distribuzione spaziale di materiali diversi sulla superficie analizzata.</w:t>
            </w:r>
          </w:p>
          <w:p w14:paraId="225794E0" w14:textId="77777777" w:rsidR="00202E59" w:rsidRDefault="003945EB" w:rsidP="00E317B9">
            <w:pPr>
              <w:pStyle w:val="TableParagraph"/>
              <w:ind w:right="97"/>
              <w:jc w:val="both"/>
              <w:rPr>
                <w:sz w:val="24"/>
              </w:rPr>
            </w:pPr>
            <w:r>
              <w:rPr>
                <w:sz w:val="24"/>
              </w:rPr>
              <w:t>Il sistema di scansione integrato caratterizza questo strumento che può registrare l'immagine e gli spettri direttamente da un treppiedi fotografico posto di fronte all'oggetto analizzato, senza parti esterne in movimento.</w:t>
            </w:r>
          </w:p>
          <w:p w14:paraId="14F70FD2" w14:textId="76CE5E8B" w:rsidR="00202E59" w:rsidRDefault="003945EB" w:rsidP="00E317B9">
            <w:pPr>
              <w:pStyle w:val="TableParagraph"/>
              <w:ind w:right="97"/>
              <w:jc w:val="both"/>
              <w:rPr>
                <w:sz w:val="24"/>
              </w:rPr>
            </w:pPr>
            <w:r>
              <w:rPr>
                <w:sz w:val="24"/>
              </w:rPr>
              <w:t xml:space="preserve">L'informazione spettrale ottenuta permette l’identificazione di coloranti e pigmenti per confronto con una banca dati di spettri di riflettanza </w:t>
            </w:r>
            <w:r w:rsidR="00F551CA">
              <w:rPr>
                <w:sz w:val="24"/>
              </w:rPr>
              <w:t xml:space="preserve">e fluorescenza </w:t>
            </w:r>
            <w:r>
              <w:rPr>
                <w:sz w:val="24"/>
              </w:rPr>
              <w:t>raccolti sui materiali utilizzati nei diversi periodi storici per produrre oggetti policromi. Inoltre, le immagini iper-spettrali permettono di evidenziare disomogeneità superficiali nella composizione, fornendo una mappatura di eventuali zone di degrado e/o interventi di restauro effettuati in passato e non documentati.</w:t>
            </w:r>
          </w:p>
          <w:p w14:paraId="6526B8D7" w14:textId="5C270778" w:rsidR="00202E59" w:rsidRDefault="003945EB" w:rsidP="00E317B9">
            <w:pPr>
              <w:pStyle w:val="TableParagraph"/>
              <w:ind w:right="94"/>
              <w:jc w:val="both"/>
              <w:rPr>
                <w:sz w:val="24"/>
              </w:rPr>
            </w:pPr>
            <w:r>
              <w:rPr>
                <w:sz w:val="24"/>
              </w:rPr>
              <w:t xml:space="preserve">L’imaging iper-spettrale nella regione del visibile è utilizzabile al meglio su opere d'arte quasi piane come dipinti, manoscritti, disegni, </w:t>
            </w:r>
            <w:proofErr w:type="spellStart"/>
            <w:r>
              <w:rPr>
                <w:sz w:val="24"/>
              </w:rPr>
              <w:t>ecc</w:t>
            </w:r>
            <w:proofErr w:type="spellEnd"/>
            <w:r w:rsidR="00F551CA">
              <w:rPr>
                <w:sz w:val="24"/>
              </w:rPr>
              <w:t>,</w:t>
            </w:r>
            <w:r>
              <w:rPr>
                <w:sz w:val="24"/>
              </w:rPr>
              <w:t xml:space="preserve"> è completamente non invasivo</w:t>
            </w:r>
            <w:r w:rsidR="00F551CA">
              <w:rPr>
                <w:sz w:val="24"/>
              </w:rPr>
              <w:t xml:space="preserve"> e</w:t>
            </w:r>
            <w:r>
              <w:rPr>
                <w:sz w:val="24"/>
              </w:rPr>
              <w:t xml:space="preserve"> facilmente utilizzabile </w:t>
            </w:r>
            <w:r>
              <w:rPr>
                <w:i/>
                <w:sz w:val="24"/>
              </w:rPr>
              <w:t xml:space="preserve">in situ </w:t>
            </w:r>
            <w:r>
              <w:rPr>
                <w:sz w:val="24"/>
              </w:rPr>
              <w:t>direttamente sull’opera d'arte tal quale.</w:t>
            </w:r>
          </w:p>
        </w:tc>
      </w:tr>
      <w:tr w:rsidR="00202E59" w14:paraId="12AA690E" w14:textId="77777777" w:rsidTr="00E317B9">
        <w:trPr>
          <w:trHeight w:val="6934"/>
        </w:trPr>
        <w:tc>
          <w:tcPr>
            <w:tcW w:w="9857" w:type="dxa"/>
            <w:vAlign w:val="center"/>
          </w:tcPr>
          <w:p w14:paraId="7451DAB6" w14:textId="77777777" w:rsidR="00202E59" w:rsidRDefault="003945EB" w:rsidP="00E317B9">
            <w:pPr>
              <w:pStyle w:val="TableParagraph"/>
              <w:spacing w:line="270" w:lineRule="exact"/>
              <w:jc w:val="both"/>
              <w:rPr>
                <w:b/>
                <w:sz w:val="24"/>
              </w:rPr>
            </w:pPr>
            <w:r>
              <w:rPr>
                <w:b/>
                <w:sz w:val="24"/>
              </w:rPr>
              <w:t>DETTAGLI TECNICI:</w:t>
            </w:r>
          </w:p>
          <w:p w14:paraId="03407BFF" w14:textId="77777777" w:rsidR="00202E59" w:rsidRDefault="00202E59" w:rsidP="00E317B9">
            <w:pPr>
              <w:pStyle w:val="TableParagraph"/>
              <w:spacing w:before="6"/>
              <w:ind w:left="0"/>
              <w:jc w:val="both"/>
              <w:rPr>
                <w:sz w:val="23"/>
              </w:rPr>
            </w:pPr>
          </w:p>
          <w:p w14:paraId="5BE18D1F" w14:textId="679D73C8" w:rsidR="00202E59" w:rsidRDefault="003945EB" w:rsidP="00E317B9">
            <w:pPr>
              <w:pStyle w:val="TableParagraph"/>
              <w:ind w:right="94"/>
              <w:jc w:val="both"/>
              <w:rPr>
                <w:sz w:val="24"/>
              </w:rPr>
            </w:pPr>
            <w:r>
              <w:rPr>
                <w:sz w:val="24"/>
              </w:rPr>
              <w:t>Il sistema di imaging iper-spettrale SOC710 è un</w:t>
            </w:r>
            <w:r w:rsidR="003B6BD1">
              <w:rPr>
                <w:sz w:val="24"/>
              </w:rPr>
              <w:t>o</w:t>
            </w:r>
            <w:r>
              <w:rPr>
                <w:sz w:val="24"/>
              </w:rPr>
              <w:t xml:space="preserve"> strumento di alta precisione che utilizza un CCD a base di silicio a basso rumore e ad alta velocità di acquisizione come spettrometro di elevata qualità nel</w:t>
            </w:r>
            <w:r w:rsidR="003B6BD1">
              <w:rPr>
                <w:sz w:val="24"/>
              </w:rPr>
              <w:t>l’</w:t>
            </w:r>
            <w:r>
              <w:rPr>
                <w:sz w:val="24"/>
              </w:rPr>
              <w:t xml:space="preserve">intervallo </w:t>
            </w:r>
            <w:r w:rsidR="003B6BD1">
              <w:rPr>
                <w:sz w:val="24"/>
              </w:rPr>
              <w:t>400-1000 nm</w:t>
            </w:r>
            <w:r>
              <w:rPr>
                <w:sz w:val="24"/>
              </w:rPr>
              <w:t xml:space="preserve">; è caratterizzato da un sistema di scansione integrato, e da un software di raccolta ed analisi dell’immagine. Il SOC710 può registrare immagini </w:t>
            </w:r>
            <w:r w:rsidR="003B6BD1">
              <w:rPr>
                <w:sz w:val="24"/>
              </w:rPr>
              <w:t>iper-spettrali</w:t>
            </w:r>
            <w:r>
              <w:rPr>
                <w:sz w:val="24"/>
              </w:rPr>
              <w:t xml:space="preserve"> ad una velocità di 4 megabyte di dati al secondo (128 elementi di banda al secondo con risoluzione a 12 bit, 520 pixel per riga, fino a 33 righe al secondo). Al fine di ottenere spettri di riflettanza ben definiti su tutta la gamma spettrale, vengono normalmente utilizzate lampade alogene fotografiche come sorgenti luminose, nonostante lo strumento possa essere utilizzato anche in condizioni di luce ambiente aggiustando opportunamente tempi di esposizione e di integrazione del</w:t>
            </w:r>
            <w:r>
              <w:rPr>
                <w:spacing w:val="-1"/>
                <w:sz w:val="24"/>
              </w:rPr>
              <w:t xml:space="preserve"> </w:t>
            </w:r>
            <w:r>
              <w:rPr>
                <w:sz w:val="24"/>
              </w:rPr>
              <w:t>segnale.</w:t>
            </w:r>
            <w:r w:rsidR="003B6BD1">
              <w:rPr>
                <w:sz w:val="24"/>
              </w:rPr>
              <w:t xml:space="preserve"> Per l’ottenimento delle immagini iper-spettrali in fluorescenza, la superficie esaminata viene illuminata con </w:t>
            </w:r>
            <w:proofErr w:type="spellStart"/>
            <w:r w:rsidR="003B6BD1">
              <w:rPr>
                <w:sz w:val="24"/>
              </w:rPr>
              <w:t>LEDs</w:t>
            </w:r>
            <w:proofErr w:type="spellEnd"/>
            <w:r w:rsidR="003B6BD1">
              <w:rPr>
                <w:sz w:val="24"/>
              </w:rPr>
              <w:t xml:space="preserve"> monocromatici emittenti a 405 nm</w:t>
            </w:r>
            <w:r w:rsidR="00AE7E66">
              <w:rPr>
                <w:sz w:val="24"/>
              </w:rPr>
              <w:t xml:space="preserve"> ed è richiesta una scarsa o assente illuminazione ambientale</w:t>
            </w:r>
            <w:r w:rsidR="003B6BD1">
              <w:rPr>
                <w:sz w:val="24"/>
              </w:rPr>
              <w:t>.</w:t>
            </w:r>
          </w:p>
          <w:p w14:paraId="76EFD3E6" w14:textId="77777777" w:rsidR="00202E59" w:rsidRDefault="00202E59" w:rsidP="00E317B9">
            <w:pPr>
              <w:pStyle w:val="TableParagraph"/>
              <w:spacing w:before="8"/>
              <w:ind w:left="0"/>
              <w:jc w:val="both"/>
              <w:rPr>
                <w:sz w:val="24"/>
              </w:rPr>
            </w:pPr>
          </w:p>
          <w:p w14:paraId="69A11623" w14:textId="77777777" w:rsidR="00202E59" w:rsidRDefault="003945EB" w:rsidP="00E317B9">
            <w:pPr>
              <w:pStyle w:val="TableParagraph"/>
              <w:jc w:val="both"/>
              <w:rPr>
                <w:b/>
                <w:sz w:val="23"/>
              </w:rPr>
            </w:pPr>
            <w:r>
              <w:rPr>
                <w:b/>
                <w:sz w:val="23"/>
              </w:rPr>
              <w:t>Specifiche dello</w:t>
            </w:r>
            <w:r>
              <w:rPr>
                <w:b/>
                <w:spacing w:val="-10"/>
                <w:sz w:val="23"/>
              </w:rPr>
              <w:t xml:space="preserve"> </w:t>
            </w:r>
            <w:r>
              <w:rPr>
                <w:b/>
                <w:sz w:val="23"/>
              </w:rPr>
              <w:t>strumento</w:t>
            </w:r>
          </w:p>
          <w:p w14:paraId="63DB3905" w14:textId="77777777" w:rsidR="00202E59" w:rsidRDefault="003945EB" w:rsidP="00E317B9">
            <w:pPr>
              <w:pStyle w:val="TableParagraph"/>
              <w:numPr>
                <w:ilvl w:val="0"/>
                <w:numId w:val="2"/>
              </w:numPr>
              <w:tabs>
                <w:tab w:val="left" w:pos="255"/>
              </w:tabs>
              <w:spacing w:before="38"/>
              <w:ind w:hanging="148"/>
              <w:jc w:val="both"/>
              <w:rPr>
                <w:sz w:val="23"/>
              </w:rPr>
            </w:pPr>
            <w:r>
              <w:rPr>
                <w:sz w:val="23"/>
              </w:rPr>
              <w:t>Intervallo spettrale: 0.4 – 1.0</w:t>
            </w:r>
            <w:r>
              <w:rPr>
                <w:spacing w:val="-3"/>
                <w:sz w:val="23"/>
              </w:rPr>
              <w:t xml:space="preserve"> </w:t>
            </w:r>
            <w:proofErr w:type="spellStart"/>
            <w:r>
              <w:rPr>
                <w:sz w:val="23"/>
              </w:rPr>
              <w:t>microns</w:t>
            </w:r>
            <w:proofErr w:type="spellEnd"/>
          </w:p>
          <w:p w14:paraId="6C275BC4" w14:textId="77777777" w:rsidR="00202E59" w:rsidRDefault="003945EB" w:rsidP="00E317B9">
            <w:pPr>
              <w:pStyle w:val="TableParagraph"/>
              <w:numPr>
                <w:ilvl w:val="0"/>
                <w:numId w:val="2"/>
              </w:numPr>
              <w:tabs>
                <w:tab w:val="left" w:pos="255"/>
              </w:tabs>
              <w:spacing w:before="77"/>
              <w:ind w:hanging="148"/>
              <w:jc w:val="both"/>
              <w:rPr>
                <w:sz w:val="23"/>
              </w:rPr>
            </w:pPr>
            <w:r>
              <w:rPr>
                <w:sz w:val="23"/>
              </w:rPr>
              <w:t>Numero di bande:</w:t>
            </w:r>
            <w:r>
              <w:rPr>
                <w:spacing w:val="-1"/>
                <w:sz w:val="23"/>
              </w:rPr>
              <w:t xml:space="preserve"> </w:t>
            </w:r>
            <w:r>
              <w:rPr>
                <w:sz w:val="23"/>
              </w:rPr>
              <w:t>128</w:t>
            </w:r>
          </w:p>
          <w:p w14:paraId="3CF85E12" w14:textId="77777777" w:rsidR="00202E59" w:rsidRDefault="003945EB" w:rsidP="00E317B9">
            <w:pPr>
              <w:pStyle w:val="TableParagraph"/>
              <w:numPr>
                <w:ilvl w:val="0"/>
                <w:numId w:val="2"/>
              </w:numPr>
              <w:tabs>
                <w:tab w:val="left" w:pos="255"/>
              </w:tabs>
              <w:spacing w:before="76"/>
              <w:ind w:hanging="148"/>
              <w:jc w:val="both"/>
              <w:rPr>
                <w:sz w:val="23"/>
              </w:rPr>
            </w:pPr>
            <w:r>
              <w:rPr>
                <w:sz w:val="23"/>
              </w:rPr>
              <w:t>Range dinamico:</w:t>
            </w:r>
            <w:r>
              <w:rPr>
                <w:spacing w:val="-1"/>
                <w:sz w:val="23"/>
              </w:rPr>
              <w:t xml:space="preserve"> </w:t>
            </w:r>
            <w:r>
              <w:rPr>
                <w:sz w:val="23"/>
              </w:rPr>
              <w:t>12-bit</w:t>
            </w:r>
          </w:p>
          <w:p w14:paraId="1F3DB9B9" w14:textId="77777777" w:rsidR="00202E59" w:rsidRDefault="003945EB" w:rsidP="00E317B9">
            <w:pPr>
              <w:pStyle w:val="TableParagraph"/>
              <w:numPr>
                <w:ilvl w:val="0"/>
                <w:numId w:val="2"/>
              </w:numPr>
              <w:tabs>
                <w:tab w:val="left" w:pos="255"/>
              </w:tabs>
              <w:spacing w:before="77"/>
              <w:ind w:hanging="148"/>
              <w:jc w:val="both"/>
              <w:rPr>
                <w:sz w:val="23"/>
              </w:rPr>
            </w:pPr>
            <w:r>
              <w:rPr>
                <w:sz w:val="23"/>
              </w:rPr>
              <w:t>Velocità di acquisizione: fino a 33</w:t>
            </w:r>
            <w:r>
              <w:rPr>
                <w:spacing w:val="-1"/>
                <w:sz w:val="23"/>
              </w:rPr>
              <w:t xml:space="preserve"> </w:t>
            </w:r>
            <w:r>
              <w:rPr>
                <w:sz w:val="23"/>
              </w:rPr>
              <w:t>linee/secondo</w:t>
            </w:r>
          </w:p>
          <w:p w14:paraId="1E0AB83D" w14:textId="77777777" w:rsidR="00202E59" w:rsidRDefault="003945EB" w:rsidP="00E317B9">
            <w:pPr>
              <w:pStyle w:val="TableParagraph"/>
              <w:numPr>
                <w:ilvl w:val="0"/>
                <w:numId w:val="2"/>
              </w:numPr>
              <w:tabs>
                <w:tab w:val="left" w:pos="255"/>
              </w:tabs>
              <w:spacing w:before="76"/>
              <w:ind w:hanging="148"/>
              <w:jc w:val="both"/>
              <w:rPr>
                <w:sz w:val="23"/>
              </w:rPr>
            </w:pPr>
            <w:r>
              <w:rPr>
                <w:sz w:val="23"/>
              </w:rPr>
              <w:t>Pixels per linea:</w:t>
            </w:r>
            <w:r>
              <w:rPr>
                <w:spacing w:val="-5"/>
                <w:sz w:val="23"/>
              </w:rPr>
              <w:t xml:space="preserve"> </w:t>
            </w:r>
            <w:r>
              <w:rPr>
                <w:sz w:val="23"/>
              </w:rPr>
              <w:t>520</w:t>
            </w:r>
          </w:p>
          <w:p w14:paraId="1C4AC152" w14:textId="77777777" w:rsidR="00202E59" w:rsidRDefault="003945EB" w:rsidP="00E317B9">
            <w:pPr>
              <w:pStyle w:val="TableParagraph"/>
              <w:numPr>
                <w:ilvl w:val="0"/>
                <w:numId w:val="2"/>
              </w:numPr>
              <w:tabs>
                <w:tab w:val="left" w:pos="255"/>
              </w:tabs>
              <w:spacing w:before="77"/>
              <w:ind w:hanging="148"/>
              <w:jc w:val="both"/>
              <w:rPr>
                <w:sz w:val="23"/>
              </w:rPr>
            </w:pPr>
            <w:r>
              <w:rPr>
                <w:sz w:val="23"/>
              </w:rPr>
              <w:t>Linee per cubo (tipico):</w:t>
            </w:r>
            <w:r>
              <w:rPr>
                <w:spacing w:val="-5"/>
                <w:sz w:val="23"/>
              </w:rPr>
              <w:t xml:space="preserve"> </w:t>
            </w:r>
            <w:r>
              <w:rPr>
                <w:sz w:val="23"/>
              </w:rPr>
              <w:t>696</w:t>
            </w:r>
          </w:p>
          <w:p w14:paraId="7AE7335D" w14:textId="77777777" w:rsidR="00202E59" w:rsidRDefault="003945EB" w:rsidP="00E317B9">
            <w:pPr>
              <w:pStyle w:val="TableParagraph"/>
              <w:numPr>
                <w:ilvl w:val="0"/>
                <w:numId w:val="2"/>
              </w:numPr>
              <w:tabs>
                <w:tab w:val="left" w:pos="255"/>
              </w:tabs>
              <w:spacing w:before="76"/>
              <w:ind w:hanging="148"/>
              <w:jc w:val="both"/>
              <w:rPr>
                <w:sz w:val="23"/>
              </w:rPr>
            </w:pPr>
            <w:r>
              <w:rPr>
                <w:sz w:val="23"/>
              </w:rPr>
              <w:t>Tempo di esposizione: 10 -&gt; 10^3</w:t>
            </w:r>
            <w:r>
              <w:rPr>
                <w:spacing w:val="-1"/>
                <w:sz w:val="23"/>
              </w:rPr>
              <w:t xml:space="preserve"> </w:t>
            </w:r>
            <w:r>
              <w:rPr>
                <w:sz w:val="23"/>
              </w:rPr>
              <w:t>millisecondi</w:t>
            </w:r>
          </w:p>
        </w:tc>
      </w:tr>
    </w:tbl>
    <w:p w14:paraId="2E8CF1B7" w14:textId="77777777" w:rsidR="00202E59" w:rsidRDefault="00202E59">
      <w:pPr>
        <w:rPr>
          <w:sz w:val="23"/>
        </w:rPr>
        <w:sectPr w:rsidR="00202E59">
          <w:type w:val="continuous"/>
          <w:pgSz w:w="11910" w:h="16840"/>
          <w:pgMar w:top="1400" w:right="900" w:bottom="280" w:left="920" w:header="720" w:footer="720" w:gutter="0"/>
          <w:cols w:space="720"/>
        </w:sectPr>
      </w:pPr>
    </w:p>
    <w:tbl>
      <w:tblPr>
        <w:tblStyle w:val="TableNormal1"/>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57"/>
      </w:tblGrid>
      <w:tr w:rsidR="00202E59" w14:paraId="3BEF13E5" w14:textId="77777777">
        <w:trPr>
          <w:trHeight w:val="5674"/>
        </w:trPr>
        <w:tc>
          <w:tcPr>
            <w:tcW w:w="9857" w:type="dxa"/>
          </w:tcPr>
          <w:p w14:paraId="7021B2B9" w14:textId="77777777" w:rsidR="00202E59" w:rsidRDefault="00202E59">
            <w:pPr>
              <w:pStyle w:val="TableParagraph"/>
              <w:spacing w:before="5" w:after="1"/>
              <w:ind w:left="0"/>
              <w:rPr>
                <w:sz w:val="27"/>
              </w:rPr>
            </w:pPr>
          </w:p>
          <w:p w14:paraId="57D25AB7" w14:textId="77777777" w:rsidR="00202E59" w:rsidRDefault="003945EB">
            <w:pPr>
              <w:pStyle w:val="TableParagraph"/>
              <w:ind w:left="582"/>
              <w:rPr>
                <w:sz w:val="20"/>
              </w:rPr>
            </w:pPr>
            <w:r>
              <w:rPr>
                <w:noProof/>
                <w:sz w:val="20"/>
              </w:rPr>
              <w:drawing>
                <wp:inline distT="0" distB="0" distL="0" distR="0" wp14:anchorId="0C32C5E0" wp14:editId="12DDEAE9">
                  <wp:extent cx="5697715" cy="27462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697715" cy="2746248"/>
                          </a:xfrm>
                          <a:prstGeom prst="rect">
                            <a:avLst/>
                          </a:prstGeom>
                        </pic:spPr>
                      </pic:pic>
                    </a:graphicData>
                  </a:graphic>
                </wp:inline>
              </w:drawing>
            </w:r>
          </w:p>
        </w:tc>
      </w:tr>
      <w:tr w:rsidR="00202E59" w:rsidRPr="0050638A" w14:paraId="04B03E91" w14:textId="77777777" w:rsidTr="00E317B9">
        <w:trPr>
          <w:trHeight w:val="3237"/>
        </w:trPr>
        <w:tc>
          <w:tcPr>
            <w:tcW w:w="9857" w:type="dxa"/>
            <w:vAlign w:val="center"/>
          </w:tcPr>
          <w:p w14:paraId="5DDB03DE" w14:textId="77777777" w:rsidR="00202E59" w:rsidRDefault="003945EB" w:rsidP="00E317B9">
            <w:pPr>
              <w:pStyle w:val="TableParagraph"/>
              <w:spacing w:line="270" w:lineRule="exact"/>
              <w:jc w:val="both"/>
              <w:rPr>
                <w:b/>
                <w:sz w:val="24"/>
              </w:rPr>
            </w:pPr>
            <w:r>
              <w:rPr>
                <w:b/>
                <w:sz w:val="24"/>
              </w:rPr>
              <w:t>RIFERIMENTI:</w:t>
            </w:r>
          </w:p>
          <w:p w14:paraId="36304706" w14:textId="77777777" w:rsidR="00202E59" w:rsidRDefault="00202E59" w:rsidP="00E317B9">
            <w:pPr>
              <w:pStyle w:val="TableParagraph"/>
              <w:spacing w:before="6"/>
              <w:ind w:left="0"/>
              <w:jc w:val="both"/>
              <w:rPr>
                <w:sz w:val="23"/>
              </w:rPr>
            </w:pPr>
          </w:p>
          <w:p w14:paraId="75216FD1" w14:textId="77777777" w:rsidR="00202E59" w:rsidRPr="00E317B9" w:rsidRDefault="003945EB" w:rsidP="00E317B9">
            <w:pPr>
              <w:pStyle w:val="TableParagraph"/>
              <w:numPr>
                <w:ilvl w:val="0"/>
                <w:numId w:val="1"/>
              </w:numPr>
              <w:tabs>
                <w:tab w:val="left" w:pos="829"/>
              </w:tabs>
              <w:ind w:right="99"/>
              <w:jc w:val="both"/>
              <w:rPr>
                <w:sz w:val="24"/>
                <w:lang w:val="en-GB"/>
              </w:rPr>
            </w:pPr>
            <w:r w:rsidRPr="00E317B9">
              <w:rPr>
                <w:sz w:val="24"/>
                <w:lang w:val="en-GB"/>
              </w:rPr>
              <w:t xml:space="preserve">Delaney, </w:t>
            </w:r>
            <w:proofErr w:type="gramStart"/>
            <w:r w:rsidRPr="00E317B9">
              <w:rPr>
                <w:sz w:val="24"/>
                <w:lang w:val="en-GB"/>
              </w:rPr>
              <w:t>J.K.,</w:t>
            </w:r>
            <w:proofErr w:type="spellStart"/>
            <w:r w:rsidRPr="00E317B9">
              <w:rPr>
                <w:sz w:val="24"/>
                <w:lang w:val="en-GB"/>
              </w:rPr>
              <w:t>Zeibel</w:t>
            </w:r>
            <w:proofErr w:type="spellEnd"/>
            <w:proofErr w:type="gramEnd"/>
            <w:r w:rsidRPr="00E317B9">
              <w:rPr>
                <w:sz w:val="24"/>
                <w:lang w:val="en-GB"/>
              </w:rPr>
              <w:t>, J.G.,</w:t>
            </w:r>
            <w:proofErr w:type="spellStart"/>
            <w:r w:rsidRPr="00E317B9">
              <w:rPr>
                <w:sz w:val="24"/>
                <w:lang w:val="en-GB"/>
              </w:rPr>
              <w:t>Thoury</w:t>
            </w:r>
            <w:proofErr w:type="spellEnd"/>
            <w:r w:rsidRPr="00E317B9">
              <w:rPr>
                <w:sz w:val="24"/>
                <w:lang w:val="en-GB"/>
              </w:rPr>
              <w:t xml:space="preserve">, M., Littleton, R., Palmer, </w:t>
            </w:r>
            <w:proofErr w:type="spellStart"/>
            <w:r w:rsidRPr="00E317B9">
              <w:rPr>
                <w:sz w:val="24"/>
                <w:lang w:val="en-GB"/>
              </w:rPr>
              <w:t>M.,Morales</w:t>
            </w:r>
            <w:proofErr w:type="spellEnd"/>
            <w:r w:rsidRPr="00E317B9">
              <w:rPr>
                <w:sz w:val="24"/>
                <w:lang w:val="en-GB"/>
              </w:rPr>
              <w:t xml:space="preserve">, K.M., René de la </w:t>
            </w:r>
            <w:proofErr w:type="spellStart"/>
            <w:r w:rsidRPr="00E317B9">
              <w:rPr>
                <w:sz w:val="24"/>
                <w:lang w:val="en-GB"/>
              </w:rPr>
              <w:t>Rie</w:t>
            </w:r>
            <w:proofErr w:type="spellEnd"/>
            <w:r w:rsidRPr="00E317B9">
              <w:rPr>
                <w:sz w:val="24"/>
                <w:lang w:val="en-GB"/>
              </w:rPr>
              <w:t xml:space="preserve">, E., </w:t>
            </w:r>
            <w:proofErr w:type="spellStart"/>
            <w:r w:rsidRPr="00E317B9">
              <w:rPr>
                <w:sz w:val="24"/>
                <w:lang w:val="en-GB"/>
              </w:rPr>
              <w:t>Hoenigswald</w:t>
            </w:r>
            <w:proofErr w:type="spellEnd"/>
            <w:r w:rsidRPr="00E317B9">
              <w:rPr>
                <w:sz w:val="24"/>
                <w:lang w:val="en-GB"/>
              </w:rPr>
              <w:t xml:space="preserve">, </w:t>
            </w:r>
            <w:proofErr w:type="spellStart"/>
            <w:r w:rsidRPr="00E317B9">
              <w:rPr>
                <w:sz w:val="24"/>
                <w:lang w:val="en-GB"/>
              </w:rPr>
              <w:t>A.,"Visible</w:t>
            </w:r>
            <w:proofErr w:type="spellEnd"/>
            <w:r w:rsidRPr="00E317B9">
              <w:rPr>
                <w:sz w:val="24"/>
                <w:lang w:val="en-GB"/>
              </w:rPr>
              <w:t xml:space="preserve"> and infrared imaging spectroscopy of Picasso's Harlequin musician: mapping and identification of artist materials in situ", Applied Spectroscopy </w:t>
            </w:r>
            <w:r w:rsidRPr="00E317B9">
              <w:rPr>
                <w:b/>
                <w:sz w:val="24"/>
                <w:lang w:val="en-GB"/>
              </w:rPr>
              <w:t>64</w:t>
            </w:r>
            <w:r w:rsidRPr="00E317B9">
              <w:rPr>
                <w:sz w:val="24"/>
                <w:lang w:val="en-GB"/>
              </w:rPr>
              <w:t>, 584-94,</w:t>
            </w:r>
            <w:r w:rsidRPr="00E317B9">
              <w:rPr>
                <w:spacing w:val="-1"/>
                <w:sz w:val="24"/>
                <w:lang w:val="en-GB"/>
              </w:rPr>
              <w:t xml:space="preserve"> </w:t>
            </w:r>
            <w:r w:rsidRPr="00E317B9">
              <w:rPr>
                <w:sz w:val="24"/>
                <w:lang w:val="en-GB"/>
              </w:rPr>
              <w:t>2010.</w:t>
            </w:r>
          </w:p>
          <w:p w14:paraId="6BBEBE5B" w14:textId="77777777" w:rsidR="00202E59" w:rsidRPr="00E317B9" w:rsidRDefault="003945EB" w:rsidP="00E317B9">
            <w:pPr>
              <w:pStyle w:val="TableParagraph"/>
              <w:numPr>
                <w:ilvl w:val="0"/>
                <w:numId w:val="1"/>
              </w:numPr>
              <w:tabs>
                <w:tab w:val="left" w:pos="829"/>
              </w:tabs>
              <w:spacing w:before="1"/>
              <w:ind w:right="100"/>
              <w:jc w:val="both"/>
              <w:rPr>
                <w:sz w:val="24"/>
                <w:lang w:val="en-GB"/>
              </w:rPr>
            </w:pPr>
            <w:r w:rsidRPr="00E317B9">
              <w:rPr>
                <w:sz w:val="24"/>
                <w:lang w:val="en-GB"/>
              </w:rPr>
              <w:t xml:space="preserve">Vitorino, T., </w:t>
            </w:r>
            <w:proofErr w:type="spellStart"/>
            <w:r w:rsidRPr="00E317B9">
              <w:rPr>
                <w:sz w:val="24"/>
                <w:lang w:val="en-GB"/>
              </w:rPr>
              <w:t>Casini</w:t>
            </w:r>
            <w:proofErr w:type="spellEnd"/>
            <w:r w:rsidRPr="00E317B9">
              <w:rPr>
                <w:sz w:val="24"/>
                <w:lang w:val="en-GB"/>
              </w:rPr>
              <w:t xml:space="preserve">, A., </w:t>
            </w:r>
            <w:proofErr w:type="spellStart"/>
            <w:r w:rsidRPr="00E317B9">
              <w:rPr>
                <w:sz w:val="24"/>
                <w:lang w:val="en-GB"/>
              </w:rPr>
              <w:t>Cucci</w:t>
            </w:r>
            <w:proofErr w:type="spellEnd"/>
            <w:r w:rsidRPr="00E317B9">
              <w:rPr>
                <w:sz w:val="24"/>
                <w:lang w:val="en-GB"/>
              </w:rPr>
              <w:t xml:space="preserve">, C., Melo, M.J., </w:t>
            </w:r>
            <w:proofErr w:type="spellStart"/>
            <w:r w:rsidRPr="00E317B9">
              <w:rPr>
                <w:sz w:val="24"/>
                <w:lang w:val="en-GB"/>
              </w:rPr>
              <w:t>Picollo</w:t>
            </w:r>
            <w:proofErr w:type="spellEnd"/>
            <w:r w:rsidRPr="00E317B9">
              <w:rPr>
                <w:sz w:val="24"/>
                <w:lang w:val="en-GB"/>
              </w:rPr>
              <w:t>, M., Stefani, L., “Hyper-Spectral Acquisition on Historically Accurate Reconstructions of Red Organic Lakes”, Chapter “Image and Signal Processing”, Volume 8509 of the series Lecture Notes in Computer Science pp 257-264, 2014, Springer</w:t>
            </w:r>
            <w:r w:rsidRPr="00E317B9">
              <w:rPr>
                <w:spacing w:val="-1"/>
                <w:sz w:val="24"/>
                <w:lang w:val="en-GB"/>
              </w:rPr>
              <w:t xml:space="preserve"> </w:t>
            </w:r>
            <w:r w:rsidRPr="00E317B9">
              <w:rPr>
                <w:sz w:val="24"/>
                <w:lang w:val="en-GB"/>
              </w:rPr>
              <w:t>Ed.</w:t>
            </w:r>
          </w:p>
          <w:p w14:paraId="1ECB9F70" w14:textId="39526690" w:rsidR="005E3F3C" w:rsidRPr="00E317B9" w:rsidRDefault="003945EB" w:rsidP="00E317B9">
            <w:pPr>
              <w:pStyle w:val="TableParagraph"/>
              <w:numPr>
                <w:ilvl w:val="0"/>
                <w:numId w:val="1"/>
              </w:numPr>
              <w:tabs>
                <w:tab w:val="left" w:pos="829"/>
              </w:tabs>
              <w:spacing w:before="1"/>
              <w:ind w:right="100"/>
              <w:jc w:val="both"/>
              <w:rPr>
                <w:sz w:val="24"/>
                <w:lang w:val="en-GB"/>
              </w:rPr>
            </w:pPr>
            <w:r w:rsidRPr="00E317B9">
              <w:rPr>
                <w:sz w:val="24"/>
                <w:lang w:val="en-GB"/>
              </w:rPr>
              <w:t xml:space="preserve">Grazia C., Sapienza C., </w:t>
            </w:r>
            <w:proofErr w:type="spellStart"/>
            <w:r w:rsidRPr="00E317B9">
              <w:rPr>
                <w:sz w:val="24"/>
                <w:lang w:val="en-GB"/>
              </w:rPr>
              <w:t>Miliani</w:t>
            </w:r>
            <w:proofErr w:type="spellEnd"/>
            <w:r w:rsidRPr="00E317B9">
              <w:rPr>
                <w:sz w:val="24"/>
                <w:lang w:val="en-GB"/>
              </w:rPr>
              <w:t xml:space="preserve"> C., Romani A., “Vis-NIR Reflection and Fluorescence Hyperspectral Imaging for the determination of </w:t>
            </w:r>
            <w:proofErr w:type="spellStart"/>
            <w:r w:rsidRPr="00E317B9">
              <w:rPr>
                <w:sz w:val="24"/>
                <w:lang w:val="en-GB"/>
              </w:rPr>
              <w:t>CdS</w:t>
            </w:r>
            <w:proofErr w:type="spellEnd"/>
            <w:r w:rsidRPr="00E317B9">
              <w:rPr>
                <w:sz w:val="24"/>
                <w:lang w:val="en-GB"/>
              </w:rPr>
              <w:t xml:space="preserve">-based pigment stoichiometry” in UV-VIS luminescence imaging techniques, Conservation 360°, Vol. 1, edited by Marcello </w:t>
            </w:r>
            <w:proofErr w:type="spellStart"/>
            <w:r w:rsidRPr="00E317B9">
              <w:rPr>
                <w:sz w:val="24"/>
                <w:lang w:val="en-GB"/>
              </w:rPr>
              <w:t>Picollo</w:t>
            </w:r>
            <w:proofErr w:type="spellEnd"/>
            <w:r w:rsidRPr="00E317B9">
              <w:rPr>
                <w:sz w:val="24"/>
                <w:lang w:val="en-GB"/>
              </w:rPr>
              <w:t xml:space="preserve">, Maartje </w:t>
            </w:r>
            <w:proofErr w:type="spellStart"/>
            <w:r w:rsidRPr="00E317B9">
              <w:rPr>
                <w:sz w:val="24"/>
                <w:lang w:val="en-GB"/>
              </w:rPr>
              <w:t>Stols-Witlox</w:t>
            </w:r>
            <w:proofErr w:type="spellEnd"/>
            <w:r w:rsidRPr="00E317B9">
              <w:rPr>
                <w:sz w:val="24"/>
                <w:lang w:val="en-GB"/>
              </w:rPr>
              <w:t xml:space="preserve"> and Laura </w:t>
            </w:r>
            <w:proofErr w:type="spellStart"/>
            <w:r w:rsidRPr="00E317B9">
              <w:rPr>
                <w:sz w:val="24"/>
                <w:lang w:val="en-GB"/>
              </w:rPr>
              <w:t>Fuster</w:t>
            </w:r>
            <w:proofErr w:type="spellEnd"/>
            <w:r w:rsidRPr="00E317B9">
              <w:rPr>
                <w:sz w:val="24"/>
                <w:lang w:val="en-GB"/>
              </w:rPr>
              <w:t xml:space="preserve">-López, Editorial </w:t>
            </w:r>
            <w:proofErr w:type="spellStart"/>
            <w:r w:rsidRPr="00E317B9">
              <w:rPr>
                <w:sz w:val="24"/>
                <w:lang w:val="en-GB"/>
              </w:rPr>
              <w:t>Universitat</w:t>
            </w:r>
            <w:proofErr w:type="spellEnd"/>
            <w:r w:rsidRPr="00E317B9">
              <w:rPr>
                <w:sz w:val="24"/>
                <w:lang w:val="en-GB"/>
              </w:rPr>
              <w:t xml:space="preserve"> </w:t>
            </w:r>
            <w:proofErr w:type="spellStart"/>
            <w:r w:rsidRPr="00E317B9">
              <w:rPr>
                <w:sz w:val="24"/>
                <w:lang w:val="en-GB"/>
              </w:rPr>
              <w:t>Politècnica</w:t>
            </w:r>
            <w:proofErr w:type="spellEnd"/>
            <w:r w:rsidRPr="00E317B9">
              <w:rPr>
                <w:sz w:val="24"/>
                <w:lang w:val="en-GB"/>
              </w:rPr>
              <w:t xml:space="preserve"> de </w:t>
            </w:r>
            <w:proofErr w:type="spellStart"/>
            <w:r w:rsidRPr="00E317B9">
              <w:rPr>
                <w:sz w:val="24"/>
                <w:lang w:val="en-GB"/>
              </w:rPr>
              <w:t>València</w:t>
            </w:r>
            <w:proofErr w:type="spellEnd"/>
            <w:r w:rsidRPr="00E317B9">
              <w:rPr>
                <w:sz w:val="24"/>
                <w:lang w:val="en-GB"/>
              </w:rPr>
              <w:t xml:space="preserve"> (2019)</w:t>
            </w:r>
          </w:p>
        </w:tc>
      </w:tr>
    </w:tbl>
    <w:p w14:paraId="785D00F6" w14:textId="77777777" w:rsidR="00202E59" w:rsidRPr="00E317B9" w:rsidRDefault="00202E59">
      <w:pPr>
        <w:pStyle w:val="Corpotesto"/>
        <w:rPr>
          <w:sz w:val="26"/>
          <w:lang w:val="en-GB"/>
        </w:rPr>
      </w:pPr>
    </w:p>
    <w:p w14:paraId="22FAD7BA" w14:textId="77777777" w:rsidR="00202E59" w:rsidRDefault="003945EB">
      <w:pPr>
        <w:pStyle w:val="Corpotesto"/>
        <w:spacing w:before="90"/>
        <w:ind w:left="212"/>
      </w:pPr>
      <w:r>
        <w:t>Referente: Aldo Romani (aldo.romani@unipg.it)</w:t>
      </w:r>
    </w:p>
    <w:sectPr w:rsidR="00202E59">
      <w:pgSz w:w="11910" w:h="16840"/>
      <w:pgMar w:top="140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8106E"/>
    <w:multiLevelType w:val="hybridMultilevel"/>
    <w:tmpl w:val="0010B486"/>
    <w:lvl w:ilvl="0" w:tplc="2FFC3876">
      <w:start w:val="1"/>
      <w:numFmt w:val="decimal"/>
      <w:lvlText w:val="%1."/>
      <w:lvlJc w:val="left"/>
      <w:pPr>
        <w:ind w:left="828" w:hanging="360"/>
        <w:jc w:val="left"/>
      </w:pPr>
      <w:rPr>
        <w:rFonts w:ascii="Times New Roman" w:eastAsia="Times New Roman" w:hAnsi="Times New Roman" w:cs="Times New Roman" w:hint="default"/>
        <w:spacing w:val="-5"/>
        <w:w w:val="99"/>
        <w:sz w:val="24"/>
        <w:szCs w:val="24"/>
        <w:lang w:val="it-IT" w:eastAsia="en-US" w:bidi="ar-SA"/>
      </w:rPr>
    </w:lvl>
    <w:lvl w:ilvl="1" w:tplc="66C63FDE">
      <w:numFmt w:val="bullet"/>
      <w:lvlText w:val="•"/>
      <w:lvlJc w:val="left"/>
      <w:pPr>
        <w:ind w:left="1722" w:hanging="360"/>
      </w:pPr>
      <w:rPr>
        <w:rFonts w:hint="default"/>
        <w:lang w:val="it-IT" w:eastAsia="en-US" w:bidi="ar-SA"/>
      </w:rPr>
    </w:lvl>
    <w:lvl w:ilvl="2" w:tplc="7BBE83DE">
      <w:numFmt w:val="bullet"/>
      <w:lvlText w:val="•"/>
      <w:lvlJc w:val="left"/>
      <w:pPr>
        <w:ind w:left="2625" w:hanging="360"/>
      </w:pPr>
      <w:rPr>
        <w:rFonts w:hint="default"/>
        <w:lang w:val="it-IT" w:eastAsia="en-US" w:bidi="ar-SA"/>
      </w:rPr>
    </w:lvl>
    <w:lvl w:ilvl="3" w:tplc="4E907D58">
      <w:numFmt w:val="bullet"/>
      <w:lvlText w:val="•"/>
      <w:lvlJc w:val="left"/>
      <w:pPr>
        <w:ind w:left="3528" w:hanging="360"/>
      </w:pPr>
      <w:rPr>
        <w:rFonts w:hint="default"/>
        <w:lang w:val="it-IT" w:eastAsia="en-US" w:bidi="ar-SA"/>
      </w:rPr>
    </w:lvl>
    <w:lvl w:ilvl="4" w:tplc="2EF268EC">
      <w:numFmt w:val="bullet"/>
      <w:lvlText w:val="•"/>
      <w:lvlJc w:val="left"/>
      <w:pPr>
        <w:ind w:left="4430" w:hanging="360"/>
      </w:pPr>
      <w:rPr>
        <w:rFonts w:hint="default"/>
        <w:lang w:val="it-IT" w:eastAsia="en-US" w:bidi="ar-SA"/>
      </w:rPr>
    </w:lvl>
    <w:lvl w:ilvl="5" w:tplc="85801776">
      <w:numFmt w:val="bullet"/>
      <w:lvlText w:val="•"/>
      <w:lvlJc w:val="left"/>
      <w:pPr>
        <w:ind w:left="5333" w:hanging="360"/>
      </w:pPr>
      <w:rPr>
        <w:rFonts w:hint="default"/>
        <w:lang w:val="it-IT" w:eastAsia="en-US" w:bidi="ar-SA"/>
      </w:rPr>
    </w:lvl>
    <w:lvl w:ilvl="6" w:tplc="90C6A364">
      <w:numFmt w:val="bullet"/>
      <w:lvlText w:val="•"/>
      <w:lvlJc w:val="left"/>
      <w:pPr>
        <w:ind w:left="6236" w:hanging="360"/>
      </w:pPr>
      <w:rPr>
        <w:rFonts w:hint="default"/>
        <w:lang w:val="it-IT" w:eastAsia="en-US" w:bidi="ar-SA"/>
      </w:rPr>
    </w:lvl>
    <w:lvl w:ilvl="7" w:tplc="C6E02DD0">
      <w:numFmt w:val="bullet"/>
      <w:lvlText w:val="•"/>
      <w:lvlJc w:val="left"/>
      <w:pPr>
        <w:ind w:left="7138" w:hanging="360"/>
      </w:pPr>
      <w:rPr>
        <w:rFonts w:hint="default"/>
        <w:lang w:val="it-IT" w:eastAsia="en-US" w:bidi="ar-SA"/>
      </w:rPr>
    </w:lvl>
    <w:lvl w:ilvl="8" w:tplc="12F45A04">
      <w:numFmt w:val="bullet"/>
      <w:lvlText w:val="•"/>
      <w:lvlJc w:val="left"/>
      <w:pPr>
        <w:ind w:left="8041" w:hanging="360"/>
      </w:pPr>
      <w:rPr>
        <w:rFonts w:hint="default"/>
        <w:lang w:val="it-IT" w:eastAsia="en-US" w:bidi="ar-SA"/>
      </w:rPr>
    </w:lvl>
  </w:abstractNum>
  <w:abstractNum w:abstractNumId="1" w15:restartNumberingAfterBreak="0">
    <w:nsid w:val="561B2406"/>
    <w:multiLevelType w:val="hybridMultilevel"/>
    <w:tmpl w:val="87680AE0"/>
    <w:lvl w:ilvl="0" w:tplc="8850CE96">
      <w:numFmt w:val="bullet"/>
      <w:lvlText w:val="•"/>
      <w:lvlJc w:val="left"/>
      <w:pPr>
        <w:ind w:left="254" w:hanging="147"/>
      </w:pPr>
      <w:rPr>
        <w:rFonts w:ascii="Arial Black" w:eastAsia="Arial Black" w:hAnsi="Arial Black" w:cs="Arial Black" w:hint="default"/>
        <w:w w:val="70"/>
        <w:sz w:val="23"/>
        <w:szCs w:val="23"/>
        <w:lang w:val="it-IT" w:eastAsia="en-US" w:bidi="ar-SA"/>
      </w:rPr>
    </w:lvl>
    <w:lvl w:ilvl="1" w:tplc="C61257CE">
      <w:numFmt w:val="bullet"/>
      <w:lvlText w:val="•"/>
      <w:lvlJc w:val="left"/>
      <w:pPr>
        <w:ind w:left="1218" w:hanging="147"/>
      </w:pPr>
      <w:rPr>
        <w:rFonts w:hint="default"/>
        <w:lang w:val="it-IT" w:eastAsia="en-US" w:bidi="ar-SA"/>
      </w:rPr>
    </w:lvl>
    <w:lvl w:ilvl="2" w:tplc="DF846D5E">
      <w:numFmt w:val="bullet"/>
      <w:lvlText w:val="•"/>
      <w:lvlJc w:val="left"/>
      <w:pPr>
        <w:ind w:left="2177" w:hanging="147"/>
      </w:pPr>
      <w:rPr>
        <w:rFonts w:hint="default"/>
        <w:lang w:val="it-IT" w:eastAsia="en-US" w:bidi="ar-SA"/>
      </w:rPr>
    </w:lvl>
    <w:lvl w:ilvl="3" w:tplc="445CEEF0">
      <w:numFmt w:val="bullet"/>
      <w:lvlText w:val="•"/>
      <w:lvlJc w:val="left"/>
      <w:pPr>
        <w:ind w:left="3136" w:hanging="147"/>
      </w:pPr>
      <w:rPr>
        <w:rFonts w:hint="default"/>
        <w:lang w:val="it-IT" w:eastAsia="en-US" w:bidi="ar-SA"/>
      </w:rPr>
    </w:lvl>
    <w:lvl w:ilvl="4" w:tplc="F0B61016">
      <w:numFmt w:val="bullet"/>
      <w:lvlText w:val="•"/>
      <w:lvlJc w:val="left"/>
      <w:pPr>
        <w:ind w:left="4094" w:hanging="147"/>
      </w:pPr>
      <w:rPr>
        <w:rFonts w:hint="default"/>
        <w:lang w:val="it-IT" w:eastAsia="en-US" w:bidi="ar-SA"/>
      </w:rPr>
    </w:lvl>
    <w:lvl w:ilvl="5" w:tplc="78AE0F1C">
      <w:numFmt w:val="bullet"/>
      <w:lvlText w:val="•"/>
      <w:lvlJc w:val="left"/>
      <w:pPr>
        <w:ind w:left="5053" w:hanging="147"/>
      </w:pPr>
      <w:rPr>
        <w:rFonts w:hint="default"/>
        <w:lang w:val="it-IT" w:eastAsia="en-US" w:bidi="ar-SA"/>
      </w:rPr>
    </w:lvl>
    <w:lvl w:ilvl="6" w:tplc="0C8214AC">
      <w:numFmt w:val="bullet"/>
      <w:lvlText w:val="•"/>
      <w:lvlJc w:val="left"/>
      <w:pPr>
        <w:ind w:left="6012" w:hanging="147"/>
      </w:pPr>
      <w:rPr>
        <w:rFonts w:hint="default"/>
        <w:lang w:val="it-IT" w:eastAsia="en-US" w:bidi="ar-SA"/>
      </w:rPr>
    </w:lvl>
    <w:lvl w:ilvl="7" w:tplc="78363656">
      <w:numFmt w:val="bullet"/>
      <w:lvlText w:val="•"/>
      <w:lvlJc w:val="left"/>
      <w:pPr>
        <w:ind w:left="6970" w:hanging="147"/>
      </w:pPr>
      <w:rPr>
        <w:rFonts w:hint="default"/>
        <w:lang w:val="it-IT" w:eastAsia="en-US" w:bidi="ar-SA"/>
      </w:rPr>
    </w:lvl>
    <w:lvl w:ilvl="8" w:tplc="013226D0">
      <w:numFmt w:val="bullet"/>
      <w:lvlText w:val="•"/>
      <w:lvlJc w:val="left"/>
      <w:pPr>
        <w:ind w:left="7929" w:hanging="147"/>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59"/>
    <w:rsid w:val="00202E59"/>
    <w:rsid w:val="003945EB"/>
    <w:rsid w:val="003B6BD1"/>
    <w:rsid w:val="0050638A"/>
    <w:rsid w:val="005E3F3C"/>
    <w:rsid w:val="00AE7E66"/>
    <w:rsid w:val="00E317B9"/>
    <w:rsid w:val="00F551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A250"/>
  <w15:docId w15:val="{BB6D8C71-8DD0-4ECA-8435-EFABFD12A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6"/>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7"/>
    </w:pPr>
  </w:style>
  <w:style w:type="paragraph" w:styleId="Testofumetto">
    <w:name w:val="Balloon Text"/>
    <w:basedOn w:val="Normale"/>
    <w:link w:val="TestofumettoCarattere"/>
    <w:uiPriority w:val="99"/>
    <w:semiHidden/>
    <w:unhideWhenUsed/>
    <w:rsid w:val="00E317B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317B9"/>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604</Words>
  <Characters>3444</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Elisabetta Andreassi</cp:lastModifiedBy>
  <cp:revision>7</cp:revision>
  <dcterms:created xsi:type="dcterms:W3CDTF">2020-10-13T09:41:00Z</dcterms:created>
  <dcterms:modified xsi:type="dcterms:W3CDTF">2020-12-17T11:27:00Z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2015-12-18T00:00:00Z</vt:filetime>
  </property>
  <property fmtid="{D5CDD505-2E9C-101B-9397-08002B2CF9AE}" pid="3" name="Creator">
    <vt:lpwstr>Microsoft® Office Word 2007</vt:lpwstr>
  </property>
  <property fmtid="{D5CDD505-2E9C-101B-9397-08002B2CF9AE}" pid="4" name="LastSaved">
    <vt:filetime>2020-10-13T00:00:00Z</vt:filetime>
  </property>
</Properties>
</file>