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6236E" w14:textId="77777777" w:rsidR="00490D5B" w:rsidRDefault="00490D5B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490D5B" w14:paraId="1BA2929A" w14:textId="77777777" w:rsidTr="002931B3">
        <w:trPr>
          <w:trHeight w:val="554"/>
        </w:trPr>
        <w:tc>
          <w:tcPr>
            <w:tcW w:w="9856" w:type="dxa"/>
            <w:vAlign w:val="center"/>
          </w:tcPr>
          <w:p w14:paraId="423C3AA5" w14:textId="77777777" w:rsidR="00490D5B" w:rsidRDefault="00490D5B" w:rsidP="002931B3">
            <w:pPr>
              <w:pStyle w:val="TableParagraph"/>
              <w:spacing w:line="268" w:lineRule="exact"/>
              <w:ind w:left="1226" w:right="121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STRUMENTAZIONE MOLAB: </w:t>
            </w:r>
            <w:r>
              <w:rPr>
                <w:sz w:val="24"/>
              </w:rPr>
              <w:t>DESCRIZIONE DELLO STRUMENTO</w:t>
            </w:r>
          </w:p>
        </w:tc>
      </w:tr>
      <w:tr w:rsidR="00490D5B" w14:paraId="6EBB7AE5" w14:textId="77777777" w:rsidTr="002931B3">
        <w:trPr>
          <w:trHeight w:val="275"/>
        </w:trPr>
        <w:tc>
          <w:tcPr>
            <w:tcW w:w="9856" w:type="dxa"/>
            <w:vAlign w:val="center"/>
          </w:tcPr>
          <w:p w14:paraId="46DEDC6F" w14:textId="6690772E" w:rsidR="00490D5B" w:rsidRDefault="00490D5B" w:rsidP="002931B3">
            <w:pPr>
              <w:pStyle w:val="TableParagraph"/>
              <w:spacing w:line="256" w:lineRule="exact"/>
              <w:ind w:left="1225" w:right="1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LABORATORIO: </w:t>
            </w:r>
            <w:proofErr w:type="spellStart"/>
            <w:r>
              <w:rPr>
                <w:b/>
                <w:sz w:val="24"/>
              </w:rPr>
              <w:t>SMAArt</w:t>
            </w:r>
            <w:proofErr w:type="spellEnd"/>
            <w:r>
              <w:rPr>
                <w:b/>
                <w:sz w:val="24"/>
              </w:rPr>
              <w:t>-UNIPG</w:t>
            </w:r>
          </w:p>
        </w:tc>
      </w:tr>
      <w:tr w:rsidR="00490D5B" w14:paraId="718F913C" w14:textId="77777777" w:rsidTr="002931B3">
        <w:trPr>
          <w:trHeight w:val="1103"/>
        </w:trPr>
        <w:tc>
          <w:tcPr>
            <w:tcW w:w="9856" w:type="dxa"/>
            <w:vAlign w:val="center"/>
          </w:tcPr>
          <w:p w14:paraId="2966849A" w14:textId="77777777" w:rsidR="00490D5B" w:rsidRDefault="00490D5B" w:rsidP="002931B3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NOME STRUMENTO + AZIENDA PRODUTTRICE</w:t>
            </w:r>
          </w:p>
          <w:p w14:paraId="5CF9C084" w14:textId="77777777" w:rsidR="00490D5B" w:rsidRDefault="00490D5B" w:rsidP="002931B3">
            <w:pPr>
              <w:pStyle w:val="TableParagraph"/>
              <w:spacing w:before="6"/>
              <w:ind w:left="0"/>
              <w:jc w:val="both"/>
              <w:rPr>
                <w:sz w:val="23"/>
              </w:rPr>
            </w:pPr>
          </w:p>
          <w:p w14:paraId="745B671C" w14:textId="77777777" w:rsidR="00490D5B" w:rsidRDefault="00490D5B" w:rsidP="002931B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Sistema spettroscopico integrato per Riflettanza e Fluorescenza UV-VIS-NIR (prototipo)</w:t>
            </w:r>
          </w:p>
        </w:tc>
      </w:tr>
      <w:tr w:rsidR="00490D5B" w14:paraId="217CE7E0" w14:textId="77777777" w:rsidTr="002931B3">
        <w:trPr>
          <w:trHeight w:val="2484"/>
        </w:trPr>
        <w:tc>
          <w:tcPr>
            <w:tcW w:w="9856" w:type="dxa"/>
            <w:vAlign w:val="center"/>
          </w:tcPr>
          <w:p w14:paraId="2BC39293" w14:textId="77777777" w:rsidR="00490D5B" w:rsidRDefault="00490D5B" w:rsidP="002931B3">
            <w:pPr>
              <w:pStyle w:val="TableParagraph"/>
              <w:spacing w:line="268" w:lineRule="exact"/>
              <w:jc w:val="both"/>
              <w:rPr>
                <w:b/>
                <w:sz w:val="24"/>
              </w:rPr>
            </w:pPr>
          </w:p>
          <w:p w14:paraId="08DADAE9" w14:textId="78E5ED0E" w:rsidR="00490D5B" w:rsidRDefault="00776002" w:rsidP="002931B3">
            <w:pPr>
              <w:pStyle w:val="TableParagraph"/>
              <w:spacing w:line="268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 GENERALI</w:t>
            </w:r>
            <w:r w:rsidR="00490D5B">
              <w:rPr>
                <w:b/>
                <w:sz w:val="24"/>
              </w:rPr>
              <w:t>:</w:t>
            </w:r>
          </w:p>
          <w:p w14:paraId="4F0CD763" w14:textId="77777777" w:rsidR="00490D5B" w:rsidRDefault="00490D5B" w:rsidP="002931B3">
            <w:pPr>
              <w:pStyle w:val="TableParagraph"/>
              <w:spacing w:line="268" w:lineRule="exact"/>
              <w:jc w:val="both"/>
              <w:rPr>
                <w:b/>
                <w:sz w:val="24"/>
              </w:rPr>
            </w:pPr>
          </w:p>
          <w:p w14:paraId="3AAFDA64" w14:textId="77777777" w:rsidR="00490D5B" w:rsidRDefault="00490D5B" w:rsidP="002931B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 spettroscopie di riflettanza e fluorescenza UV-VIS-NIR </w:t>
            </w:r>
            <w:r>
              <w:rPr>
                <w:i/>
                <w:sz w:val="24"/>
              </w:rPr>
              <w:t xml:space="preserve">in situ </w:t>
            </w:r>
            <w:r>
              <w:rPr>
                <w:sz w:val="24"/>
              </w:rPr>
              <w:t>sono diventate, negli ultimi anni, una tecnica non invasiva efficace per l'identificazione di diversi materiali organici e inorganici utilizzati nella produzione di oggetti d'arte come dipinti, manoscritti, tessuti, ecc. A tal fine, le misure di fluorescenza sono particolarmente indicate per la caratterizzazione di coloranti organici e pigmenti luminescenti come, ad esempio, l'ossido di zinco, i pigmenti a base di cadmio ed il Blu Egizio. Inoltre, fluorofori diversi con spettri di emissione simile possono essere talvolta separati e riconosciuti sulla base del loro tempo di vita di emissione.</w:t>
            </w:r>
          </w:p>
          <w:p w14:paraId="0759F79D" w14:textId="77777777" w:rsidR="00490D5B" w:rsidRDefault="00490D5B" w:rsidP="002931B3">
            <w:pPr>
              <w:pStyle w:val="TableParagraph"/>
              <w:ind w:right="94"/>
              <w:jc w:val="both"/>
              <w:rPr>
                <w:sz w:val="24"/>
              </w:rPr>
            </w:pPr>
          </w:p>
        </w:tc>
      </w:tr>
      <w:tr w:rsidR="00490D5B" w14:paraId="42360F73" w14:textId="77777777" w:rsidTr="002931B3">
        <w:trPr>
          <w:trHeight w:val="8448"/>
        </w:trPr>
        <w:tc>
          <w:tcPr>
            <w:tcW w:w="9856" w:type="dxa"/>
            <w:vAlign w:val="center"/>
          </w:tcPr>
          <w:p w14:paraId="4FD84BCC" w14:textId="77777777" w:rsidR="00490D5B" w:rsidRDefault="00490D5B" w:rsidP="002931B3">
            <w:pPr>
              <w:pStyle w:val="TableParagraph"/>
              <w:spacing w:line="268" w:lineRule="exact"/>
              <w:jc w:val="both"/>
              <w:rPr>
                <w:b/>
                <w:sz w:val="24"/>
              </w:rPr>
            </w:pPr>
          </w:p>
          <w:p w14:paraId="37E0BFA1" w14:textId="77777777" w:rsidR="00490D5B" w:rsidRDefault="00490D5B" w:rsidP="002931B3">
            <w:pPr>
              <w:pStyle w:val="TableParagraph"/>
              <w:spacing w:line="268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DETTAGLI TECNICI:</w:t>
            </w:r>
          </w:p>
          <w:p w14:paraId="44245A41" w14:textId="77777777" w:rsidR="00490D5B" w:rsidRDefault="00490D5B" w:rsidP="002931B3">
            <w:pPr>
              <w:pStyle w:val="TableParagraph"/>
              <w:spacing w:line="268" w:lineRule="exact"/>
              <w:jc w:val="both"/>
              <w:rPr>
                <w:b/>
                <w:sz w:val="24"/>
              </w:rPr>
            </w:pPr>
          </w:p>
          <w:p w14:paraId="41A7567D" w14:textId="77777777" w:rsidR="00490D5B" w:rsidRDefault="00490D5B" w:rsidP="002931B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Il prototipo strumentale portatile è composto da diverse sorgenti luminose: una lampada deuterio- alogena compatta per le misure di riflettanza; laser a stato solido e diodi laser per le misure di fluorescenza in stato stazionario; Diodi e LED pulsati per misure di tempi di vita di emissione nell’intervallo temporale dai ns ai ms.</w:t>
            </w:r>
          </w:p>
          <w:p w14:paraId="4BADE24F" w14:textId="77777777" w:rsidR="00490D5B" w:rsidRDefault="00490D5B" w:rsidP="002931B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Le sorgenti sono accoppiate con spettrometri CCD ad alta sensibilità che lavorano nell’intervallo spettrale UV-VIS-NIR e che permettono di acquisire spettri di riflettanza tra 200-1600 nm e spettri di luminescenza nell'intervallo 300-1600 nm. I tempi di vita possono essere misurati per le specie che emettono nell'intervallo spettrale 350-850 nm.</w:t>
            </w:r>
          </w:p>
          <w:p w14:paraId="68CFD5ED" w14:textId="77777777" w:rsidR="00490D5B" w:rsidRDefault="00490D5B" w:rsidP="002931B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Un sistema in fibra ottica dedicato consente di effettuare misure su qualsiasi superficie con una risoluzione spaziale inferiore a 2 mm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.</w:t>
            </w:r>
          </w:p>
          <w:p w14:paraId="084ECE27" w14:textId="77777777" w:rsidR="00490D5B" w:rsidRDefault="00490D5B" w:rsidP="002931B3">
            <w:pPr>
              <w:pStyle w:val="TableParagraph"/>
              <w:spacing w:before="4" w:after="1"/>
              <w:ind w:left="0"/>
              <w:jc w:val="both"/>
              <w:rPr>
                <w:sz w:val="24"/>
              </w:rPr>
            </w:pPr>
          </w:p>
          <w:p w14:paraId="5247549B" w14:textId="77777777" w:rsidR="00490D5B" w:rsidRDefault="00490D5B" w:rsidP="002931B3">
            <w:pPr>
              <w:pStyle w:val="TableParagraph"/>
              <w:ind w:left="1703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B6EB80" wp14:editId="21755B6D">
                  <wp:extent cx="4107293" cy="30956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293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859F1E" w14:textId="77777777" w:rsidR="00490D5B" w:rsidRDefault="00490D5B" w:rsidP="002931B3">
            <w:pPr>
              <w:pStyle w:val="TableParagraph"/>
              <w:ind w:left="0"/>
              <w:jc w:val="both"/>
              <w:rPr>
                <w:sz w:val="23"/>
              </w:rPr>
            </w:pPr>
          </w:p>
        </w:tc>
      </w:tr>
      <w:tr w:rsidR="00490D5B" w:rsidRPr="00776002" w14:paraId="4459BD10" w14:textId="77777777" w:rsidTr="002931B3">
        <w:trPr>
          <w:trHeight w:val="1103"/>
        </w:trPr>
        <w:tc>
          <w:tcPr>
            <w:tcW w:w="9856" w:type="dxa"/>
          </w:tcPr>
          <w:p w14:paraId="2EFB888B" w14:textId="77777777" w:rsidR="00490D5B" w:rsidRDefault="00490D5B" w:rsidP="002931B3">
            <w:pPr>
              <w:pStyle w:val="TableParagraph"/>
              <w:spacing w:line="271" w:lineRule="exact"/>
              <w:rPr>
                <w:b/>
                <w:sz w:val="24"/>
                <w:lang w:val="en-GB"/>
              </w:rPr>
            </w:pPr>
          </w:p>
          <w:p w14:paraId="02B20734" w14:textId="77777777" w:rsidR="00490D5B" w:rsidRPr="00A86B6D" w:rsidRDefault="00490D5B" w:rsidP="002931B3">
            <w:pPr>
              <w:pStyle w:val="TableParagraph"/>
              <w:spacing w:line="271" w:lineRule="exact"/>
              <w:rPr>
                <w:b/>
                <w:sz w:val="24"/>
                <w:lang w:val="en-GB"/>
              </w:rPr>
            </w:pPr>
            <w:r w:rsidRPr="00A86B6D">
              <w:rPr>
                <w:b/>
                <w:sz w:val="24"/>
                <w:lang w:val="en-GB"/>
              </w:rPr>
              <w:t>RIFERIMENTI:</w:t>
            </w:r>
          </w:p>
          <w:p w14:paraId="02CB0D0B" w14:textId="77777777" w:rsidR="00490D5B" w:rsidRPr="00A86B6D" w:rsidRDefault="00490D5B" w:rsidP="002931B3">
            <w:pPr>
              <w:pStyle w:val="TableParagraph"/>
              <w:spacing w:before="6"/>
              <w:ind w:left="0"/>
              <w:rPr>
                <w:sz w:val="23"/>
                <w:lang w:val="en-GB"/>
              </w:rPr>
            </w:pPr>
          </w:p>
          <w:p w14:paraId="42C0067C" w14:textId="77777777" w:rsidR="00490D5B" w:rsidRDefault="00490D5B" w:rsidP="002931B3">
            <w:pPr>
              <w:pStyle w:val="TableParagraph"/>
              <w:numPr>
                <w:ilvl w:val="0"/>
                <w:numId w:val="2"/>
              </w:numPr>
              <w:spacing w:line="270" w:lineRule="atLeast"/>
              <w:ind w:left="462" w:hanging="283"/>
              <w:rPr>
                <w:sz w:val="24"/>
                <w:lang w:val="en-GB"/>
              </w:rPr>
            </w:pPr>
            <w:r w:rsidRPr="00A86B6D">
              <w:rPr>
                <w:sz w:val="24"/>
                <w:lang w:val="en-GB"/>
              </w:rPr>
              <w:t xml:space="preserve">Romani A., Clementi C., </w:t>
            </w:r>
            <w:proofErr w:type="spellStart"/>
            <w:r w:rsidRPr="00A86B6D">
              <w:rPr>
                <w:sz w:val="24"/>
                <w:lang w:val="en-GB"/>
              </w:rPr>
              <w:t>Miliani</w:t>
            </w:r>
            <w:proofErr w:type="spellEnd"/>
            <w:r w:rsidRPr="00A86B6D">
              <w:rPr>
                <w:sz w:val="24"/>
                <w:lang w:val="en-GB"/>
              </w:rPr>
              <w:t xml:space="preserve"> </w:t>
            </w:r>
            <w:proofErr w:type="gramStart"/>
            <w:r w:rsidRPr="00A86B6D">
              <w:rPr>
                <w:sz w:val="24"/>
                <w:lang w:val="en-GB"/>
              </w:rPr>
              <w:t>C.</w:t>
            </w:r>
            <w:proofErr w:type="gramEnd"/>
            <w:r w:rsidRPr="00A86B6D">
              <w:rPr>
                <w:sz w:val="24"/>
                <w:lang w:val="en-GB"/>
              </w:rPr>
              <w:t xml:space="preserve"> and </w:t>
            </w:r>
            <w:proofErr w:type="spellStart"/>
            <w:r w:rsidRPr="00A86B6D">
              <w:rPr>
                <w:sz w:val="24"/>
                <w:lang w:val="en-GB"/>
              </w:rPr>
              <w:t>Favaro</w:t>
            </w:r>
            <w:proofErr w:type="spellEnd"/>
            <w:r w:rsidRPr="00A86B6D">
              <w:rPr>
                <w:sz w:val="24"/>
                <w:lang w:val="en-GB"/>
              </w:rPr>
              <w:t xml:space="preserve"> G., “Fluorescence Spectroscopy: a powerful technique for the non-invasive characterization of artworks”, Account Chem. Res., 43, 837- 846</w:t>
            </w:r>
          </w:p>
          <w:p w14:paraId="5BC5A951" w14:textId="77777777" w:rsidR="00490D5B" w:rsidRDefault="00490D5B" w:rsidP="002931B3">
            <w:pPr>
              <w:pStyle w:val="TableParagraph"/>
              <w:tabs>
                <w:tab w:val="left" w:pos="634"/>
              </w:tabs>
              <w:ind w:left="462" w:right="97" w:hanging="283"/>
              <w:jc w:val="both"/>
              <w:rPr>
                <w:sz w:val="24"/>
                <w:lang w:val="en-GB"/>
              </w:rPr>
            </w:pPr>
          </w:p>
          <w:p w14:paraId="48FD7EAA" w14:textId="77777777" w:rsidR="00490D5B" w:rsidRDefault="00490D5B" w:rsidP="002931B3">
            <w:pPr>
              <w:pStyle w:val="TableParagraph"/>
              <w:numPr>
                <w:ilvl w:val="0"/>
                <w:numId w:val="2"/>
              </w:numPr>
              <w:tabs>
                <w:tab w:val="left" w:pos="634"/>
              </w:tabs>
              <w:ind w:left="462" w:right="97" w:hanging="283"/>
              <w:jc w:val="both"/>
              <w:rPr>
                <w:sz w:val="24"/>
                <w:lang w:val="en-GB"/>
              </w:rPr>
            </w:pPr>
            <w:r w:rsidRPr="00A86B6D">
              <w:rPr>
                <w:sz w:val="24"/>
                <w:lang w:val="en-GB"/>
              </w:rPr>
              <w:t xml:space="preserve">Romani A., Clementi C., </w:t>
            </w:r>
            <w:proofErr w:type="spellStart"/>
            <w:r w:rsidRPr="00A86B6D">
              <w:rPr>
                <w:sz w:val="24"/>
                <w:lang w:val="en-GB"/>
              </w:rPr>
              <w:t>Miliani</w:t>
            </w:r>
            <w:proofErr w:type="spellEnd"/>
            <w:r w:rsidRPr="00A86B6D">
              <w:rPr>
                <w:sz w:val="24"/>
                <w:lang w:val="en-GB"/>
              </w:rPr>
              <w:t xml:space="preserve"> C., Brunetti B.G., </w:t>
            </w:r>
            <w:proofErr w:type="spellStart"/>
            <w:r w:rsidRPr="00A86B6D">
              <w:rPr>
                <w:sz w:val="24"/>
                <w:lang w:val="en-GB"/>
              </w:rPr>
              <w:t>Sgamellotti</w:t>
            </w:r>
            <w:proofErr w:type="spellEnd"/>
            <w:r w:rsidRPr="00A86B6D">
              <w:rPr>
                <w:sz w:val="24"/>
                <w:lang w:val="en-GB"/>
              </w:rPr>
              <w:t xml:space="preserve"> A. and </w:t>
            </w:r>
            <w:proofErr w:type="spellStart"/>
            <w:r w:rsidRPr="00A86B6D">
              <w:rPr>
                <w:sz w:val="24"/>
                <w:lang w:val="en-GB"/>
              </w:rPr>
              <w:t>Favaro</w:t>
            </w:r>
            <w:proofErr w:type="spellEnd"/>
            <w:r w:rsidRPr="00A86B6D">
              <w:rPr>
                <w:sz w:val="24"/>
                <w:lang w:val="en-GB"/>
              </w:rPr>
              <w:t xml:space="preserve"> G., “Portable equipment for luminescence lifetime measurements on surfaces”, Applied Spectroscopy, 62, 1395-1399</w:t>
            </w:r>
            <w:r w:rsidRPr="00A86B6D">
              <w:rPr>
                <w:spacing w:val="-1"/>
                <w:sz w:val="24"/>
                <w:lang w:val="en-GB"/>
              </w:rPr>
              <w:t xml:space="preserve"> </w:t>
            </w:r>
            <w:r w:rsidRPr="00A86B6D">
              <w:rPr>
                <w:sz w:val="24"/>
                <w:lang w:val="en-GB"/>
              </w:rPr>
              <w:t>(2008).</w:t>
            </w:r>
          </w:p>
          <w:p w14:paraId="3FF10B5C" w14:textId="77777777" w:rsidR="00490D5B" w:rsidRPr="00A86B6D" w:rsidRDefault="00490D5B" w:rsidP="002931B3">
            <w:pPr>
              <w:pStyle w:val="TableParagraph"/>
              <w:tabs>
                <w:tab w:val="left" w:pos="634"/>
              </w:tabs>
              <w:ind w:left="462" w:right="97" w:hanging="283"/>
              <w:jc w:val="both"/>
              <w:rPr>
                <w:sz w:val="24"/>
                <w:lang w:val="en-GB"/>
              </w:rPr>
            </w:pPr>
          </w:p>
          <w:p w14:paraId="1D4DACD4" w14:textId="77777777" w:rsidR="00490D5B" w:rsidRDefault="00490D5B" w:rsidP="002931B3">
            <w:pPr>
              <w:pStyle w:val="TableParagraph"/>
              <w:numPr>
                <w:ilvl w:val="0"/>
                <w:numId w:val="2"/>
              </w:numPr>
              <w:spacing w:line="270" w:lineRule="atLeast"/>
              <w:ind w:left="462" w:hanging="283"/>
              <w:rPr>
                <w:sz w:val="24"/>
                <w:lang w:val="en-GB"/>
              </w:rPr>
            </w:pPr>
            <w:r w:rsidRPr="00A86B6D">
              <w:rPr>
                <w:sz w:val="24"/>
                <w:lang w:val="en-GB"/>
              </w:rPr>
              <w:t>Romani A., “Steady-state and time-resolved luminescence for in-situ characterization of polychrome artworks”, Luminescence, 23, 262-263 (2008).</w:t>
            </w:r>
          </w:p>
          <w:p w14:paraId="47EC03C7" w14:textId="77777777" w:rsidR="00490D5B" w:rsidRPr="00A86B6D" w:rsidRDefault="00490D5B" w:rsidP="002931B3">
            <w:pPr>
              <w:pStyle w:val="TableParagraph"/>
              <w:spacing w:line="270" w:lineRule="atLeast"/>
              <w:ind w:left="468"/>
              <w:rPr>
                <w:sz w:val="24"/>
                <w:lang w:val="en-GB"/>
              </w:rPr>
            </w:pPr>
          </w:p>
        </w:tc>
      </w:tr>
    </w:tbl>
    <w:p w14:paraId="251480F3" w14:textId="77777777" w:rsidR="00D63F10" w:rsidRDefault="00D63F10">
      <w:pPr>
        <w:spacing w:line="270" w:lineRule="atLeast"/>
        <w:rPr>
          <w:sz w:val="24"/>
          <w:lang w:val="en-GB"/>
        </w:rPr>
      </w:pPr>
    </w:p>
    <w:p w14:paraId="324E7F75" w14:textId="493F0B8A" w:rsidR="00D63F10" w:rsidRDefault="00490D5B" w:rsidP="00490D5B">
      <w:pPr>
        <w:pStyle w:val="Corpotesto"/>
        <w:spacing w:before="90"/>
      </w:pPr>
      <w:r w:rsidRPr="00776002">
        <w:rPr>
          <w:lang w:val="en-US"/>
        </w:rPr>
        <w:t xml:space="preserve"> </w:t>
      </w:r>
      <w:r w:rsidR="00A86B6D">
        <w:t>Referente: Aldo Romani (aldo.romani@unipg.it)</w:t>
      </w:r>
    </w:p>
    <w:sectPr w:rsidR="00D63F10" w:rsidSect="00490D5B">
      <w:type w:val="continuous"/>
      <w:pgSz w:w="11910" w:h="16840"/>
      <w:pgMar w:top="14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652A3"/>
    <w:multiLevelType w:val="hybridMultilevel"/>
    <w:tmpl w:val="E3F0031A"/>
    <w:lvl w:ilvl="0" w:tplc="7012CC70">
      <w:numFmt w:val="bullet"/>
      <w:lvlText w:val="•"/>
      <w:lvlJc w:val="left"/>
      <w:pPr>
        <w:ind w:left="468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97E4A80">
      <w:numFmt w:val="bullet"/>
      <w:lvlText w:val="•"/>
      <w:lvlJc w:val="left"/>
      <w:pPr>
        <w:ind w:left="1398" w:hanging="166"/>
      </w:pPr>
      <w:rPr>
        <w:rFonts w:hint="default"/>
        <w:lang w:val="it-IT" w:eastAsia="en-US" w:bidi="ar-SA"/>
      </w:rPr>
    </w:lvl>
    <w:lvl w:ilvl="2" w:tplc="6066B5F4">
      <w:numFmt w:val="bullet"/>
      <w:lvlText w:val="•"/>
      <w:lvlJc w:val="left"/>
      <w:pPr>
        <w:ind w:left="2337" w:hanging="166"/>
      </w:pPr>
      <w:rPr>
        <w:rFonts w:hint="default"/>
        <w:lang w:val="it-IT" w:eastAsia="en-US" w:bidi="ar-SA"/>
      </w:rPr>
    </w:lvl>
    <w:lvl w:ilvl="3" w:tplc="C504A7A0">
      <w:numFmt w:val="bullet"/>
      <w:lvlText w:val="•"/>
      <w:lvlJc w:val="left"/>
      <w:pPr>
        <w:ind w:left="3275" w:hanging="166"/>
      </w:pPr>
      <w:rPr>
        <w:rFonts w:hint="default"/>
        <w:lang w:val="it-IT" w:eastAsia="en-US" w:bidi="ar-SA"/>
      </w:rPr>
    </w:lvl>
    <w:lvl w:ilvl="4" w:tplc="340C0BB2">
      <w:numFmt w:val="bullet"/>
      <w:lvlText w:val="•"/>
      <w:lvlJc w:val="left"/>
      <w:pPr>
        <w:ind w:left="4214" w:hanging="166"/>
      </w:pPr>
      <w:rPr>
        <w:rFonts w:hint="default"/>
        <w:lang w:val="it-IT" w:eastAsia="en-US" w:bidi="ar-SA"/>
      </w:rPr>
    </w:lvl>
    <w:lvl w:ilvl="5" w:tplc="1FDCC71E">
      <w:numFmt w:val="bullet"/>
      <w:lvlText w:val="•"/>
      <w:lvlJc w:val="left"/>
      <w:pPr>
        <w:ind w:left="5153" w:hanging="166"/>
      </w:pPr>
      <w:rPr>
        <w:rFonts w:hint="default"/>
        <w:lang w:val="it-IT" w:eastAsia="en-US" w:bidi="ar-SA"/>
      </w:rPr>
    </w:lvl>
    <w:lvl w:ilvl="6" w:tplc="53A43E62">
      <w:numFmt w:val="bullet"/>
      <w:lvlText w:val="•"/>
      <w:lvlJc w:val="left"/>
      <w:pPr>
        <w:ind w:left="6091" w:hanging="166"/>
      </w:pPr>
      <w:rPr>
        <w:rFonts w:hint="default"/>
        <w:lang w:val="it-IT" w:eastAsia="en-US" w:bidi="ar-SA"/>
      </w:rPr>
    </w:lvl>
    <w:lvl w:ilvl="7" w:tplc="A4026AF8">
      <w:numFmt w:val="bullet"/>
      <w:lvlText w:val="•"/>
      <w:lvlJc w:val="left"/>
      <w:pPr>
        <w:ind w:left="7030" w:hanging="166"/>
      </w:pPr>
      <w:rPr>
        <w:rFonts w:hint="default"/>
        <w:lang w:val="it-IT" w:eastAsia="en-US" w:bidi="ar-SA"/>
      </w:rPr>
    </w:lvl>
    <w:lvl w:ilvl="8" w:tplc="0FFA6228">
      <w:numFmt w:val="bullet"/>
      <w:lvlText w:val="•"/>
      <w:lvlJc w:val="left"/>
      <w:pPr>
        <w:ind w:left="7968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6C6A6BAB"/>
    <w:multiLevelType w:val="hybridMultilevel"/>
    <w:tmpl w:val="763C59D4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F10"/>
    <w:rsid w:val="00490D5B"/>
    <w:rsid w:val="00776002"/>
    <w:rsid w:val="00A86B6D"/>
    <w:rsid w:val="00B8340E"/>
    <w:rsid w:val="00D6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06E4"/>
  <w15:docId w15:val="{60952A90-16C5-4F25-8719-AF4792C0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spacing w:before="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Elisabetta Andreassi</cp:lastModifiedBy>
  <cp:revision>4</cp:revision>
  <dcterms:created xsi:type="dcterms:W3CDTF">2020-10-13T09:18:00Z</dcterms:created>
  <dcterms:modified xsi:type="dcterms:W3CDTF">2020-12-17T08:28:00Z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2020-10-13T00:00:00Z</vt:filetime>
  </property>
</Properties>
</file>