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6"/>
      </w:tblGrid>
      <w:tr w:rsidR="00EF08A9" w14:paraId="1729BC3E" w14:textId="77777777">
        <w:trPr>
          <w:trHeight w:val="563"/>
        </w:trPr>
        <w:tc>
          <w:tcPr>
            <w:tcW w:w="9856" w:type="dxa"/>
          </w:tcPr>
          <w:p w14:paraId="5ACA1F90" w14:textId="77777777" w:rsidR="00EF08A9" w:rsidRDefault="0072455A">
            <w:pPr>
              <w:pStyle w:val="TableParagraph"/>
              <w:spacing w:line="273" w:lineRule="exact"/>
              <w:ind w:left="2358" w:right="2352"/>
              <w:jc w:val="center"/>
              <w:rPr>
                <w:b/>
                <w:sz w:val="24"/>
              </w:rPr>
            </w:pPr>
            <w:r>
              <w:rPr>
                <w:b/>
                <w:sz w:val="24"/>
              </w:rPr>
              <w:t>STRUMENTAZIONE MOLAB: DESCRIZIONE</w:t>
            </w:r>
          </w:p>
        </w:tc>
      </w:tr>
      <w:tr w:rsidR="00EF08A9" w14:paraId="7D28A74F" w14:textId="77777777">
        <w:trPr>
          <w:trHeight w:val="275"/>
        </w:trPr>
        <w:tc>
          <w:tcPr>
            <w:tcW w:w="9856" w:type="dxa"/>
          </w:tcPr>
          <w:p w14:paraId="372763B3" w14:textId="77777777" w:rsidR="00EF08A9" w:rsidRDefault="0072455A">
            <w:pPr>
              <w:pStyle w:val="TableParagraph"/>
              <w:spacing w:line="256" w:lineRule="exact"/>
              <w:ind w:left="2358" w:right="2348"/>
              <w:jc w:val="center"/>
              <w:rPr>
                <w:b/>
                <w:sz w:val="24"/>
              </w:rPr>
            </w:pPr>
            <w:r>
              <w:rPr>
                <w:b/>
                <w:sz w:val="24"/>
              </w:rPr>
              <w:t>LABORATORIO: CNR-INO</w:t>
            </w:r>
          </w:p>
        </w:tc>
      </w:tr>
      <w:tr w:rsidR="00EF08A9" w:rsidRPr="00F72635" w14:paraId="5596B739" w14:textId="77777777">
        <w:trPr>
          <w:trHeight w:val="1379"/>
        </w:trPr>
        <w:tc>
          <w:tcPr>
            <w:tcW w:w="9856" w:type="dxa"/>
          </w:tcPr>
          <w:p w14:paraId="1BA78760" w14:textId="77777777" w:rsidR="00EF08A9" w:rsidRDefault="00EF08A9">
            <w:pPr>
              <w:pStyle w:val="TableParagraph"/>
              <w:spacing w:before="5"/>
              <w:rPr>
                <w:sz w:val="23"/>
              </w:rPr>
            </w:pPr>
          </w:p>
          <w:p w14:paraId="05012327" w14:textId="77777777" w:rsidR="00EF08A9" w:rsidRDefault="0072455A">
            <w:pPr>
              <w:pStyle w:val="TableParagraph"/>
              <w:ind w:left="107"/>
              <w:rPr>
                <w:b/>
                <w:sz w:val="24"/>
              </w:rPr>
            </w:pPr>
            <w:r>
              <w:rPr>
                <w:b/>
                <w:sz w:val="24"/>
              </w:rPr>
              <w:t>NOME STRUMENTO</w:t>
            </w:r>
          </w:p>
          <w:p w14:paraId="17AE4844" w14:textId="77777777" w:rsidR="00EF08A9" w:rsidRDefault="00EF08A9">
            <w:pPr>
              <w:pStyle w:val="TableParagraph"/>
              <w:spacing w:before="7"/>
              <w:rPr>
                <w:sz w:val="23"/>
              </w:rPr>
            </w:pPr>
          </w:p>
          <w:p w14:paraId="14171BEB" w14:textId="45E40444" w:rsidR="00EF08A9" w:rsidRPr="00F72635" w:rsidRDefault="00F72635">
            <w:pPr>
              <w:pStyle w:val="TableParagraph"/>
              <w:ind w:left="107"/>
              <w:rPr>
                <w:sz w:val="24"/>
                <w:lang w:val="en-US"/>
              </w:rPr>
            </w:pPr>
            <w:proofErr w:type="spellStart"/>
            <w:r w:rsidRPr="00F72635">
              <w:rPr>
                <w:sz w:val="24"/>
                <w:lang w:val="en-US"/>
              </w:rPr>
              <w:t>Tomografia</w:t>
            </w:r>
            <w:proofErr w:type="spellEnd"/>
            <w:r w:rsidRPr="00F72635">
              <w:rPr>
                <w:sz w:val="24"/>
                <w:lang w:val="en-US"/>
              </w:rPr>
              <w:t xml:space="preserve"> </w:t>
            </w:r>
            <w:proofErr w:type="spellStart"/>
            <w:r w:rsidRPr="00F72635">
              <w:rPr>
                <w:sz w:val="24"/>
                <w:lang w:val="en-US"/>
              </w:rPr>
              <w:t>Ottica</w:t>
            </w:r>
            <w:proofErr w:type="spellEnd"/>
            <w:r w:rsidRPr="00F72635">
              <w:rPr>
                <w:sz w:val="24"/>
                <w:lang w:val="en-US"/>
              </w:rPr>
              <w:t xml:space="preserve"> </w:t>
            </w:r>
            <w:proofErr w:type="spellStart"/>
            <w:r w:rsidRPr="00F72635">
              <w:rPr>
                <w:sz w:val="24"/>
                <w:lang w:val="en-US"/>
              </w:rPr>
              <w:t>Coerente</w:t>
            </w:r>
            <w:proofErr w:type="spellEnd"/>
            <w:r w:rsidRPr="00F72635">
              <w:rPr>
                <w:sz w:val="24"/>
                <w:lang w:val="en-US"/>
              </w:rPr>
              <w:t xml:space="preserve"> (OCT – Optical Coherence Tomography)</w:t>
            </w:r>
          </w:p>
        </w:tc>
      </w:tr>
      <w:tr w:rsidR="00EF08A9" w14:paraId="4EE4392C" w14:textId="77777777">
        <w:trPr>
          <w:trHeight w:val="3588"/>
        </w:trPr>
        <w:tc>
          <w:tcPr>
            <w:tcW w:w="9856" w:type="dxa"/>
          </w:tcPr>
          <w:p w14:paraId="11FFF009" w14:textId="77777777" w:rsidR="00EF08A9" w:rsidRPr="00D563B9" w:rsidRDefault="00EF08A9">
            <w:pPr>
              <w:pStyle w:val="TableParagraph"/>
              <w:spacing w:before="5"/>
              <w:rPr>
                <w:sz w:val="23"/>
              </w:rPr>
            </w:pPr>
          </w:p>
          <w:p w14:paraId="22A83315" w14:textId="77777777" w:rsidR="00EF08A9" w:rsidRDefault="0072455A">
            <w:pPr>
              <w:pStyle w:val="TableParagraph"/>
              <w:ind w:left="107"/>
              <w:jc w:val="both"/>
              <w:rPr>
                <w:b/>
                <w:sz w:val="24"/>
              </w:rPr>
            </w:pPr>
            <w:r>
              <w:rPr>
                <w:b/>
                <w:sz w:val="24"/>
              </w:rPr>
              <w:t>INFORMAZIONI GENERALI:</w:t>
            </w:r>
          </w:p>
          <w:p w14:paraId="29BC6DBE" w14:textId="77777777" w:rsidR="00EF08A9" w:rsidRDefault="00EF08A9">
            <w:pPr>
              <w:pStyle w:val="TableParagraph"/>
              <w:spacing w:before="7"/>
              <w:rPr>
                <w:sz w:val="23"/>
              </w:rPr>
            </w:pPr>
          </w:p>
          <w:p w14:paraId="254BEDBA" w14:textId="50489819" w:rsidR="00F72635" w:rsidRDefault="0072455A" w:rsidP="00F72635">
            <w:pPr>
              <w:rPr>
                <w:sz w:val="24"/>
              </w:rPr>
            </w:pPr>
            <w:r>
              <w:rPr>
                <w:sz w:val="24"/>
              </w:rPr>
              <w:t>La t</w:t>
            </w:r>
            <w:r w:rsidR="00E45FB2">
              <w:rPr>
                <w:sz w:val="24"/>
              </w:rPr>
              <w:t xml:space="preserve">omografia ottica coerente (OCT), tipicamente impiegata in campo biomedicale, </w:t>
            </w:r>
            <w:r>
              <w:rPr>
                <w:sz w:val="24"/>
              </w:rPr>
              <w:t>è una tecnica interferometrica che fornisce sezioni stratigrafiche ad alta risoluzione di oggetti diffondenti o semi-trasparenti</w:t>
            </w:r>
            <w:r w:rsidR="00E45FB2">
              <w:rPr>
                <w:sz w:val="24"/>
              </w:rPr>
              <w:t>. E</w:t>
            </w:r>
            <w:r>
              <w:rPr>
                <w:sz w:val="24"/>
              </w:rPr>
              <w:t xml:space="preserve">ssa </w:t>
            </w:r>
            <w:r w:rsidR="006805D2">
              <w:rPr>
                <w:sz w:val="24"/>
              </w:rPr>
              <w:t>fa uso di</w:t>
            </w:r>
            <w:r>
              <w:rPr>
                <w:sz w:val="24"/>
              </w:rPr>
              <w:t xml:space="preserve"> </w:t>
            </w:r>
            <w:r w:rsidR="006805D2">
              <w:rPr>
                <w:sz w:val="24"/>
              </w:rPr>
              <w:t xml:space="preserve">una sorgente </w:t>
            </w:r>
            <w:r w:rsidR="004E3C35">
              <w:rPr>
                <w:sz w:val="24"/>
              </w:rPr>
              <w:t xml:space="preserve">con emissione nel </w:t>
            </w:r>
            <w:r w:rsidR="006805D2">
              <w:rPr>
                <w:sz w:val="24"/>
              </w:rPr>
              <w:t xml:space="preserve">visibile o </w:t>
            </w:r>
            <w:r w:rsidR="004E3C35">
              <w:rPr>
                <w:sz w:val="24"/>
              </w:rPr>
              <w:t>nel vicino infrarosso,</w:t>
            </w:r>
            <w:r>
              <w:rPr>
                <w:sz w:val="24"/>
              </w:rPr>
              <w:t xml:space="preserve"> la cui larghezza spettrale determina la risoluzione in profondità. Nel campo della diagnostica dei dipinti, l’OCT </w:t>
            </w:r>
            <w:r w:rsidR="00E45FB2">
              <w:rPr>
                <w:sz w:val="24"/>
              </w:rPr>
              <w:t>ha trovato valida applicazione nella misura in profondità di stratificazioni di materiali pittorici in modo completamente non-invasivo</w:t>
            </w:r>
            <w:r>
              <w:rPr>
                <w:sz w:val="24"/>
              </w:rPr>
              <w:t xml:space="preserve">. Tale analisi </w:t>
            </w:r>
            <w:r w:rsidR="00E45FB2">
              <w:rPr>
                <w:sz w:val="24"/>
              </w:rPr>
              <w:t>si rivela particolarmente utile per il</w:t>
            </w:r>
            <w:r>
              <w:rPr>
                <w:sz w:val="24"/>
              </w:rPr>
              <w:t xml:space="preserve"> monitora</w:t>
            </w:r>
            <w:r w:rsidR="00E45FB2">
              <w:rPr>
                <w:sz w:val="24"/>
              </w:rPr>
              <w:t>ggio</w:t>
            </w:r>
            <w:r>
              <w:rPr>
                <w:sz w:val="24"/>
              </w:rPr>
              <w:t xml:space="preserve"> e </w:t>
            </w:r>
            <w:r w:rsidR="00E45FB2">
              <w:rPr>
                <w:sz w:val="24"/>
              </w:rPr>
              <w:t xml:space="preserve">la </w:t>
            </w:r>
            <w:r>
              <w:rPr>
                <w:sz w:val="24"/>
              </w:rPr>
              <w:t>documenta</w:t>
            </w:r>
            <w:r w:rsidR="00E45FB2">
              <w:rPr>
                <w:sz w:val="24"/>
              </w:rPr>
              <w:t>zione di</w:t>
            </w:r>
            <w:r>
              <w:rPr>
                <w:sz w:val="24"/>
              </w:rPr>
              <w:t xml:space="preserve"> variazioni </w:t>
            </w:r>
            <w:r w:rsidR="006805D2">
              <w:rPr>
                <w:sz w:val="24"/>
              </w:rPr>
              <w:t>di</w:t>
            </w:r>
            <w:r>
              <w:rPr>
                <w:sz w:val="24"/>
              </w:rPr>
              <w:t xml:space="preserve"> spessore</w:t>
            </w:r>
            <w:r w:rsidR="006805D2">
              <w:rPr>
                <w:sz w:val="24"/>
              </w:rPr>
              <w:t xml:space="preserve"> </w:t>
            </w:r>
            <w:r w:rsidR="00E45FB2">
              <w:rPr>
                <w:sz w:val="24"/>
              </w:rPr>
              <w:t xml:space="preserve">micrometriche </w:t>
            </w:r>
            <w:r w:rsidR="006805D2">
              <w:rPr>
                <w:sz w:val="24"/>
              </w:rPr>
              <w:t xml:space="preserve">durante interventi </w:t>
            </w:r>
            <w:r>
              <w:rPr>
                <w:sz w:val="24"/>
              </w:rPr>
              <w:t>di restauro</w:t>
            </w:r>
            <w:r w:rsidR="006805D2">
              <w:rPr>
                <w:sz w:val="24"/>
              </w:rPr>
              <w:t xml:space="preserve"> come la pulitura</w:t>
            </w:r>
            <w:r>
              <w:rPr>
                <w:sz w:val="24"/>
              </w:rPr>
              <w:t xml:space="preserve">, </w:t>
            </w:r>
            <w:r w:rsidR="006805D2">
              <w:rPr>
                <w:sz w:val="24"/>
              </w:rPr>
              <w:t>che prevede la rimozione selettiva di patine deteriorate o depositi (vernici, ossalati, ridipinture)</w:t>
            </w:r>
            <w:r>
              <w:rPr>
                <w:sz w:val="24"/>
              </w:rPr>
              <w:t xml:space="preserve"> presenti sulle superfici</w:t>
            </w:r>
            <w:r>
              <w:rPr>
                <w:spacing w:val="-7"/>
                <w:sz w:val="24"/>
              </w:rPr>
              <w:t xml:space="preserve"> </w:t>
            </w:r>
            <w:r>
              <w:rPr>
                <w:sz w:val="24"/>
              </w:rPr>
              <w:t>pittoriche.</w:t>
            </w:r>
            <w:r w:rsidR="001C4E0E">
              <w:rPr>
                <w:sz w:val="24"/>
              </w:rPr>
              <w:t xml:space="preserve"> La visualizzazione di stratificazioni mediante OCT può tuttavia essere ostacolata in presenza di interfacce altamente diffondenti, che impediscono la propagazione in profondità della radiazione incidente. Allo scopo di superare tale limite, la tecnica OCT è stata accoppiata alla microscopia confocale a scansione, consente</w:t>
            </w:r>
            <w:r w:rsidR="00F72635">
              <w:rPr>
                <w:sz w:val="24"/>
              </w:rPr>
              <w:t>ndo così</w:t>
            </w:r>
            <w:r w:rsidR="001C4E0E">
              <w:rPr>
                <w:sz w:val="24"/>
              </w:rPr>
              <w:t xml:space="preserve"> di focalizzare il fascio incidente sull’interfaccia di interesse </w:t>
            </w:r>
            <w:r w:rsidR="00B47880">
              <w:rPr>
                <w:sz w:val="24"/>
              </w:rPr>
              <w:t xml:space="preserve">(anche all’interno del materiale) </w:t>
            </w:r>
            <w:r w:rsidR="001C4E0E">
              <w:rPr>
                <w:sz w:val="24"/>
              </w:rPr>
              <w:t>e massimizzare il segnale retro</w:t>
            </w:r>
            <w:r w:rsidR="00F72635">
              <w:rPr>
                <w:sz w:val="24"/>
              </w:rPr>
              <w:t>-</w:t>
            </w:r>
            <w:r w:rsidR="001C4E0E">
              <w:rPr>
                <w:sz w:val="24"/>
              </w:rPr>
              <w:t>diffuso.</w:t>
            </w:r>
          </w:p>
          <w:p w14:paraId="3CCAE5F2" w14:textId="6CEBCAEA" w:rsidR="00F72635" w:rsidRDefault="00F72635" w:rsidP="00F72635">
            <w:pPr>
              <w:rPr>
                <w:sz w:val="24"/>
              </w:rPr>
            </w:pPr>
          </w:p>
        </w:tc>
      </w:tr>
      <w:tr w:rsidR="00F72635" w14:paraId="0DDC0875" w14:textId="77777777">
        <w:trPr>
          <w:trHeight w:val="3588"/>
        </w:trPr>
        <w:tc>
          <w:tcPr>
            <w:tcW w:w="9856" w:type="dxa"/>
          </w:tcPr>
          <w:p w14:paraId="41856A10" w14:textId="77777777" w:rsidR="00F72635" w:rsidRPr="00B47880" w:rsidRDefault="00F72635">
            <w:pPr>
              <w:pStyle w:val="TableParagraph"/>
              <w:spacing w:before="5"/>
              <w:rPr>
                <w:sz w:val="23"/>
              </w:rPr>
            </w:pPr>
          </w:p>
          <w:p w14:paraId="3642CA32" w14:textId="77777777" w:rsidR="00F72635" w:rsidRDefault="00F72635" w:rsidP="00F72635">
            <w:pPr>
              <w:pStyle w:val="TableParagraph"/>
              <w:jc w:val="both"/>
              <w:rPr>
                <w:b/>
                <w:sz w:val="24"/>
              </w:rPr>
            </w:pPr>
            <w:r>
              <w:rPr>
                <w:b/>
                <w:sz w:val="24"/>
              </w:rPr>
              <w:t>DETTAGLI TECNICI:</w:t>
            </w:r>
          </w:p>
          <w:p w14:paraId="3B53A699" w14:textId="77777777" w:rsidR="00F72635" w:rsidRDefault="00F72635" w:rsidP="00F72635">
            <w:pPr>
              <w:pStyle w:val="TableParagraph"/>
              <w:spacing w:before="7"/>
              <w:rPr>
                <w:sz w:val="23"/>
              </w:rPr>
            </w:pPr>
          </w:p>
          <w:p w14:paraId="2F96053A" w14:textId="4702D689" w:rsidR="00B47880" w:rsidRDefault="00F72635" w:rsidP="00F72635">
            <w:pPr>
              <w:rPr>
                <w:sz w:val="24"/>
                <w:szCs w:val="24"/>
              </w:rPr>
            </w:pPr>
            <w:r>
              <w:rPr>
                <w:sz w:val="24"/>
                <w:szCs w:val="24"/>
              </w:rPr>
              <w:t>La capacità della radiazione di penetrare la materia dipende sia dalle proprietà di quest’ultima (composizione chimica, spessore</w:t>
            </w:r>
            <w:r w:rsidR="00B47880">
              <w:rPr>
                <w:sz w:val="24"/>
                <w:szCs w:val="24"/>
              </w:rPr>
              <w:t>, …</w:t>
            </w:r>
            <w:r>
              <w:rPr>
                <w:sz w:val="24"/>
                <w:szCs w:val="24"/>
              </w:rPr>
              <w:t>) sia dalla lunghezza d’onda della radiazione utilizzata. A tale proposito, CNR-INO mette a disposizione due dispositivi per OCT</w:t>
            </w:r>
            <w:r w:rsidR="00B47880">
              <w:rPr>
                <w:sz w:val="24"/>
                <w:szCs w:val="24"/>
              </w:rPr>
              <w:t>, operanti rispettivamente a 1300 nm (</w:t>
            </w:r>
            <w:r>
              <w:rPr>
                <w:sz w:val="24"/>
                <w:szCs w:val="24"/>
              </w:rPr>
              <w:t>dominio della frequenza</w:t>
            </w:r>
            <w:r w:rsidR="00B47880">
              <w:rPr>
                <w:sz w:val="24"/>
                <w:szCs w:val="24"/>
              </w:rPr>
              <w:t xml:space="preserve">, FD-OCT) e 1550 nm (dominio del tempo in modalità confocale, </w:t>
            </w:r>
            <w:proofErr w:type="spellStart"/>
            <w:r w:rsidR="00B47880">
              <w:rPr>
                <w:sz w:val="24"/>
                <w:szCs w:val="24"/>
              </w:rPr>
              <w:t>confocal</w:t>
            </w:r>
            <w:proofErr w:type="spellEnd"/>
            <w:r w:rsidR="00B47880">
              <w:rPr>
                <w:sz w:val="24"/>
                <w:szCs w:val="24"/>
              </w:rPr>
              <w:t xml:space="preserve"> TD-OCT). </w:t>
            </w:r>
            <w:r w:rsidR="00005D02">
              <w:rPr>
                <w:sz w:val="24"/>
              </w:rPr>
              <w:t>L’output de</w:t>
            </w:r>
            <w:r w:rsidR="00035E66">
              <w:rPr>
                <w:sz w:val="24"/>
              </w:rPr>
              <w:t>gli</w:t>
            </w:r>
            <w:r w:rsidR="00005D02">
              <w:rPr>
                <w:sz w:val="24"/>
              </w:rPr>
              <w:t xml:space="preserve"> strument</w:t>
            </w:r>
            <w:r w:rsidR="00035E66">
              <w:rPr>
                <w:sz w:val="24"/>
              </w:rPr>
              <w:t>i</w:t>
            </w:r>
            <w:r w:rsidR="00005D02">
              <w:rPr>
                <w:sz w:val="24"/>
              </w:rPr>
              <w:t xml:space="preserve"> è un set di immagini stratigrafiche del campione</w:t>
            </w:r>
            <w:r w:rsidR="00035E66">
              <w:rPr>
                <w:sz w:val="24"/>
              </w:rPr>
              <w:t>,</w:t>
            </w:r>
            <w:r w:rsidR="00005D02">
              <w:rPr>
                <w:sz w:val="24"/>
              </w:rPr>
              <w:t xml:space="preserve"> anche dette immagini tomografiche</w:t>
            </w:r>
            <w:r w:rsidR="00035E66">
              <w:rPr>
                <w:sz w:val="24"/>
              </w:rPr>
              <w:t>,</w:t>
            </w:r>
            <w:r w:rsidR="00005D02">
              <w:rPr>
                <w:sz w:val="24"/>
              </w:rPr>
              <w:t xml:space="preserve"> che costituiscono il cosiddetto </w:t>
            </w:r>
            <w:proofErr w:type="spellStart"/>
            <w:r w:rsidR="00005D02" w:rsidRPr="00005D02">
              <w:rPr>
                <w:i/>
                <w:iCs/>
                <w:sz w:val="24"/>
              </w:rPr>
              <w:t>tumocube</w:t>
            </w:r>
            <w:proofErr w:type="spellEnd"/>
            <w:r w:rsidR="00005D02">
              <w:rPr>
                <w:sz w:val="24"/>
              </w:rPr>
              <w:t xml:space="preserve">. Esso può essere analizzato secondo </w:t>
            </w:r>
            <w:r w:rsidR="00035E66">
              <w:rPr>
                <w:sz w:val="24"/>
              </w:rPr>
              <w:t xml:space="preserve">una </w:t>
            </w:r>
            <w:r w:rsidR="00005D02">
              <w:rPr>
                <w:sz w:val="24"/>
              </w:rPr>
              <w:t>qualsiasi sezione (</w:t>
            </w:r>
            <w:proofErr w:type="spellStart"/>
            <w:r w:rsidR="00005D02" w:rsidRPr="00005D02">
              <w:rPr>
                <w:i/>
                <w:iCs/>
                <w:sz w:val="24"/>
              </w:rPr>
              <w:t>xz</w:t>
            </w:r>
            <w:proofErr w:type="spellEnd"/>
            <w:r w:rsidR="00005D02" w:rsidRPr="00005D02">
              <w:rPr>
                <w:i/>
                <w:iCs/>
                <w:sz w:val="24"/>
              </w:rPr>
              <w:t xml:space="preserve">, </w:t>
            </w:r>
            <w:proofErr w:type="spellStart"/>
            <w:r w:rsidR="00005D02" w:rsidRPr="00005D02">
              <w:rPr>
                <w:i/>
                <w:iCs/>
                <w:sz w:val="24"/>
              </w:rPr>
              <w:t>yz</w:t>
            </w:r>
            <w:proofErr w:type="spellEnd"/>
            <w:r w:rsidR="00005D02" w:rsidRPr="00005D02">
              <w:rPr>
                <w:i/>
                <w:iCs/>
                <w:sz w:val="24"/>
              </w:rPr>
              <w:t xml:space="preserve">, </w:t>
            </w:r>
            <w:proofErr w:type="spellStart"/>
            <w:r w:rsidR="00005D02" w:rsidRPr="00005D02">
              <w:rPr>
                <w:i/>
                <w:iCs/>
                <w:sz w:val="24"/>
              </w:rPr>
              <w:t>xy</w:t>
            </w:r>
            <w:proofErr w:type="spellEnd"/>
            <w:r w:rsidR="00005D02">
              <w:rPr>
                <w:sz w:val="24"/>
              </w:rPr>
              <w:t xml:space="preserve">). </w:t>
            </w:r>
            <w:r w:rsidR="00005D02">
              <w:rPr>
                <w:sz w:val="24"/>
                <w:szCs w:val="24"/>
              </w:rPr>
              <w:t xml:space="preserve">Lo strumento FD-OCT consente di acquisire volumi di dimensione massima 10 mm </w:t>
            </w:r>
            <w:r w:rsidR="00035E66">
              <w:rPr>
                <w:sz w:val="24"/>
                <w:szCs w:val="24"/>
              </w:rPr>
              <w:t>×</w:t>
            </w:r>
            <w:r w:rsidR="00005D02">
              <w:rPr>
                <w:sz w:val="24"/>
                <w:szCs w:val="24"/>
              </w:rPr>
              <w:t xml:space="preserve"> 10 mm </w:t>
            </w:r>
            <w:r w:rsidR="00035E66">
              <w:rPr>
                <w:sz w:val="24"/>
                <w:szCs w:val="24"/>
              </w:rPr>
              <w:t>×</w:t>
            </w:r>
            <w:r w:rsidR="00005D02">
              <w:rPr>
                <w:sz w:val="24"/>
                <w:szCs w:val="24"/>
              </w:rPr>
              <w:t xml:space="preserve"> 3.5 mm con una risoluzione laterale di 13 micron e assiale</w:t>
            </w:r>
            <w:r w:rsidR="00035E66">
              <w:rPr>
                <w:sz w:val="24"/>
                <w:szCs w:val="24"/>
              </w:rPr>
              <w:t xml:space="preserve"> (in profondità)</w:t>
            </w:r>
            <w:r w:rsidR="00005D02">
              <w:rPr>
                <w:sz w:val="24"/>
                <w:szCs w:val="24"/>
              </w:rPr>
              <w:t xml:space="preserve"> di 5.5 micron in aria. Lo strumento TD-OCT</w:t>
            </w:r>
            <w:r w:rsidR="00035E66">
              <w:rPr>
                <w:sz w:val="24"/>
                <w:szCs w:val="24"/>
              </w:rPr>
              <w:t xml:space="preserve">, invece, volumi di dimensione massima 25 mm × 25 mm × 1 mm con una </w:t>
            </w:r>
            <w:r w:rsidR="00035E66">
              <w:rPr>
                <w:sz w:val="24"/>
              </w:rPr>
              <w:t>risoluzione laterale di circa 2.5 micron e assiale di circa 10 micron in aria. I valori della risoluzione assiale sono dati per funzionamento in aria e sono, dunque, da dividere per l’indice di rifrazione della sostanza attraversata.</w:t>
            </w:r>
          </w:p>
          <w:p w14:paraId="386B8580" w14:textId="5DD42B82" w:rsidR="00F72635" w:rsidRDefault="00B47880" w:rsidP="00F72635">
            <w:pPr>
              <w:rPr>
                <w:sz w:val="24"/>
                <w:szCs w:val="24"/>
              </w:rPr>
            </w:pPr>
            <w:r>
              <w:rPr>
                <w:sz w:val="24"/>
                <w:szCs w:val="24"/>
              </w:rPr>
              <w:t>A seconda delle caratteristiche dell’opera da analizzare, viene utilizzato l’uno o l’altro dei due sistemi.</w:t>
            </w:r>
          </w:p>
          <w:p w14:paraId="6CBE811A" w14:textId="636BAC04" w:rsidR="00F72635" w:rsidRDefault="00F72635" w:rsidP="00F72635">
            <w:pPr>
              <w:rPr>
                <w:sz w:val="24"/>
              </w:rPr>
            </w:pPr>
          </w:p>
          <w:p w14:paraId="34B3131C" w14:textId="051EAFB8" w:rsidR="00F72635" w:rsidRDefault="00181252" w:rsidP="00181252">
            <w:pPr>
              <w:jc w:val="center"/>
              <w:rPr>
                <w:noProof/>
                <w:spacing w:val="116"/>
                <w:sz w:val="20"/>
                <w:lang w:eastAsia="it-IT"/>
              </w:rPr>
            </w:pPr>
            <w:r w:rsidRPr="00181252">
              <w:rPr>
                <w:noProof/>
                <w:sz w:val="24"/>
              </w:rPr>
              <mc:AlternateContent>
                <mc:Choice Requires="wps">
                  <w:drawing>
                    <wp:anchor distT="45720" distB="45720" distL="114300" distR="114300" simplePos="0" relativeHeight="251661312" behindDoc="0" locked="0" layoutInCell="1" allowOverlap="1" wp14:anchorId="5F0EA48C" wp14:editId="277237D1">
                      <wp:simplePos x="0" y="0"/>
                      <wp:positionH relativeFrom="column">
                        <wp:posOffset>5273675</wp:posOffset>
                      </wp:positionH>
                      <wp:positionV relativeFrom="paragraph">
                        <wp:posOffset>2028825</wp:posOffset>
                      </wp:positionV>
                      <wp:extent cx="495300" cy="29527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621C958A" w14:textId="1BF8C265"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b</w:t>
                                  </w:r>
                                  <w:r w:rsidRPr="0018125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EA48C" id="_x0000_t202" coordsize="21600,21600" o:spt="202" path="m,l,21600r21600,l21600,xe">
                      <v:stroke joinstyle="miter"/>
                      <v:path gradientshapeok="t" o:connecttype="rect"/>
                    </v:shapetype>
                    <v:shape id="Casella di testo 2" o:spid="_x0000_s1026" type="#_x0000_t202" style="position:absolute;left:0;text-align:left;margin-left:415.25pt;margin-top:159.75pt;width:39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" filled="f" stroked="f">
                      <v:textbox>
                        <w:txbxContent>
                          <w:p w14:paraId="621C958A" w14:textId="1BF8C265"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b</w:t>
                            </w:r>
                            <w:r w:rsidRPr="00181252">
                              <w:rPr>
                                <w:color w:val="FFFFFF" w:themeColor="background1"/>
                                <w:sz w:val="28"/>
                                <w:szCs w:val="28"/>
                              </w:rPr>
                              <w:t>)</w:t>
                            </w:r>
                          </w:p>
                        </w:txbxContent>
                      </v:textbox>
                    </v:shape>
                  </w:pict>
                </mc:Fallback>
              </mc:AlternateContent>
            </w:r>
            <w:r w:rsidRPr="00181252">
              <w:rPr>
                <w:noProof/>
                <w:sz w:val="24"/>
              </w:rPr>
              <mc:AlternateContent>
                <mc:Choice Requires="wps">
                  <w:drawing>
                    <wp:anchor distT="45720" distB="45720" distL="114300" distR="114300" simplePos="0" relativeHeight="251659264" behindDoc="0" locked="0" layoutInCell="1" allowOverlap="1" wp14:anchorId="41AF5908" wp14:editId="26F5A6EB">
                      <wp:simplePos x="0" y="0"/>
                      <wp:positionH relativeFrom="column">
                        <wp:posOffset>530225</wp:posOffset>
                      </wp:positionH>
                      <wp:positionV relativeFrom="paragraph">
                        <wp:posOffset>1990725</wp:posOffset>
                      </wp:positionV>
                      <wp:extent cx="495300" cy="295275"/>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1FE332D1" w14:textId="3E78AF97" w:rsidR="00181252" w:rsidRPr="00181252" w:rsidRDefault="00181252">
                                  <w:pPr>
                                    <w:rPr>
                                      <w:color w:val="FFFFFF" w:themeColor="background1"/>
                                      <w:sz w:val="28"/>
                                      <w:szCs w:val="28"/>
                                    </w:rPr>
                                  </w:pPr>
                                  <w:r w:rsidRPr="00181252">
                                    <w:rPr>
                                      <w:color w:val="FFFFFF" w:themeColor="background1"/>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F5908" id="_x0000_s1027" type="#_x0000_t202" style="position:absolute;left:0;text-align:left;margin-left:41.75pt;margin-top:156.75pt;width:39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" filled="f" stroked="f">
                      <v:textbox>
                        <w:txbxContent>
                          <w:p w14:paraId="1FE332D1" w14:textId="3E78AF97" w:rsidR="00181252" w:rsidRPr="00181252" w:rsidRDefault="00181252">
                            <w:pPr>
                              <w:rPr>
                                <w:color w:val="FFFFFF" w:themeColor="background1"/>
                                <w:sz w:val="28"/>
                                <w:szCs w:val="28"/>
                              </w:rPr>
                            </w:pPr>
                            <w:r w:rsidRPr="00181252">
                              <w:rPr>
                                <w:color w:val="FFFFFF" w:themeColor="background1"/>
                                <w:sz w:val="28"/>
                                <w:szCs w:val="28"/>
                              </w:rPr>
                              <w:t>(a)</w:t>
                            </w:r>
                          </w:p>
                        </w:txbxContent>
                      </v:textbox>
                    </v:shape>
                  </w:pict>
                </mc:Fallback>
              </mc:AlternateContent>
            </w:r>
            <w:r w:rsidR="00F22C44">
              <w:rPr>
                <w:noProof/>
              </w:rPr>
              <w:drawing>
                <wp:inline distT="0" distB="0" distL="0" distR="0" wp14:anchorId="6F388792" wp14:editId="5FD64B62">
                  <wp:extent cx="1862859" cy="1800000"/>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1232" t="22503" b="13058"/>
                          <a:stretch/>
                        </pic:blipFill>
                        <pic:spPr bwMode="auto">
                          <a:xfrm>
                            <a:off x="0" y="0"/>
                            <a:ext cx="1862859"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pacing w:val="116"/>
                <w:sz w:val="20"/>
                <w:lang w:eastAsia="it-IT"/>
              </w:rPr>
              <w:t xml:space="preserve">   </w:t>
            </w:r>
            <w:r w:rsidR="000F644F">
              <w:rPr>
                <w:noProof/>
                <w:spacing w:val="116"/>
                <w:sz w:val="20"/>
                <w:lang w:eastAsia="it-IT"/>
              </w:rPr>
              <w:drawing>
                <wp:inline distT="0" distB="0" distL="0" distR="0" wp14:anchorId="2849372F" wp14:editId="73C55F3B">
                  <wp:extent cx="1992659" cy="1800000"/>
                  <wp:effectExtent l="0" t="0" r="762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992659" cy="1800000"/>
                          </a:xfrm>
                          <a:prstGeom prst="rect">
                            <a:avLst/>
                          </a:prstGeom>
                        </pic:spPr>
                      </pic:pic>
                    </a:graphicData>
                  </a:graphic>
                </wp:inline>
              </w:drawing>
            </w:r>
          </w:p>
          <w:p w14:paraId="0547D248" w14:textId="2F5ABC9E" w:rsidR="00160930" w:rsidRDefault="00160930" w:rsidP="00181252">
            <w:pPr>
              <w:jc w:val="center"/>
            </w:pPr>
            <w:r>
              <w:rPr>
                <w:sz w:val="24"/>
              </w:rPr>
              <w:t>Figura: Testa ottica del dispositivo FD-OCT (a) e TD-OCT (b) durante misure in situ.</w:t>
            </w:r>
          </w:p>
          <w:p w14:paraId="754EB555" w14:textId="641116AE" w:rsidR="00F22C44" w:rsidRDefault="00F22C44" w:rsidP="00F72635"/>
          <w:p w14:paraId="77B331DA" w14:textId="5AD978D1" w:rsidR="00181252" w:rsidRDefault="00181252" w:rsidP="00181252">
            <w:pPr>
              <w:jc w:val="center"/>
              <w:rPr>
                <w:sz w:val="24"/>
                <w:szCs w:val="24"/>
              </w:rPr>
            </w:pPr>
            <w:r w:rsidRPr="00181252">
              <w:rPr>
                <w:noProof/>
                <w:sz w:val="24"/>
              </w:rPr>
              <mc:AlternateContent>
                <mc:Choice Requires="wps">
                  <w:drawing>
                    <wp:anchor distT="45720" distB="45720" distL="114300" distR="114300" simplePos="0" relativeHeight="251665408" behindDoc="0" locked="0" layoutInCell="1" allowOverlap="1" wp14:anchorId="2734AC10" wp14:editId="01F2ED7B">
                      <wp:simplePos x="0" y="0"/>
                      <wp:positionH relativeFrom="column">
                        <wp:posOffset>4486275</wp:posOffset>
                      </wp:positionH>
                      <wp:positionV relativeFrom="paragraph">
                        <wp:posOffset>1463040</wp:posOffset>
                      </wp:positionV>
                      <wp:extent cx="495300" cy="29527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0EB9687C" w14:textId="5A9E46A1"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c</w:t>
                                  </w:r>
                                  <w:r w:rsidRPr="0018125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AC10" id="_x0000_s1028" type="#_x0000_t202" style="position:absolute;left:0;text-align:left;margin-left:353.25pt;margin-top:115.2pt;width:39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" filled="f" stroked="f">
                      <v:textbox>
                        <w:txbxContent>
                          <w:p w14:paraId="0EB9687C" w14:textId="5A9E46A1"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c</w:t>
                            </w:r>
                            <w:r w:rsidRPr="00181252">
                              <w:rPr>
                                <w:color w:val="FFFFFF" w:themeColor="background1"/>
                                <w:sz w:val="28"/>
                                <w:szCs w:val="28"/>
                              </w:rPr>
                              <w:t>)</w:t>
                            </w:r>
                          </w:p>
                        </w:txbxContent>
                      </v:textbox>
                    </v:shape>
                  </w:pict>
                </mc:Fallback>
              </mc:AlternateContent>
            </w:r>
            <w:r w:rsidRPr="00181252">
              <w:rPr>
                <w:noProof/>
                <w:sz w:val="24"/>
              </w:rPr>
              <mc:AlternateContent>
                <mc:Choice Requires="wps">
                  <w:drawing>
                    <wp:anchor distT="45720" distB="45720" distL="114300" distR="114300" simplePos="0" relativeHeight="251663360" behindDoc="0" locked="0" layoutInCell="1" allowOverlap="1" wp14:anchorId="46835ADB" wp14:editId="38416591">
                      <wp:simplePos x="0" y="0"/>
                      <wp:positionH relativeFrom="column">
                        <wp:posOffset>0</wp:posOffset>
                      </wp:positionH>
                      <wp:positionV relativeFrom="paragraph">
                        <wp:posOffset>53340</wp:posOffset>
                      </wp:positionV>
                      <wp:extent cx="495300" cy="2952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31466440" w14:textId="77777777" w:rsidR="00181252" w:rsidRPr="00181252" w:rsidRDefault="00181252" w:rsidP="00181252">
                                  <w:pPr>
                                    <w:rPr>
                                      <w:color w:val="FFFFFF" w:themeColor="background1"/>
                                      <w:sz w:val="28"/>
                                      <w:szCs w:val="28"/>
                                    </w:rPr>
                                  </w:pPr>
                                  <w:r w:rsidRPr="00181252">
                                    <w:rPr>
                                      <w:color w:val="FFFFFF" w:themeColor="background1"/>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5ADB" id="_x0000_s1029" type="#_x0000_t202" style="position:absolute;left:0;text-align:left;margin-left:0;margin-top:4.2pt;width:39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" filled="f" stroked="f">
                      <v:textbox>
                        <w:txbxContent>
                          <w:p w14:paraId="31466440" w14:textId="77777777" w:rsidR="00181252" w:rsidRPr="00181252" w:rsidRDefault="00181252" w:rsidP="00181252">
                            <w:pPr>
                              <w:rPr>
                                <w:color w:val="FFFFFF" w:themeColor="background1"/>
                                <w:sz w:val="28"/>
                                <w:szCs w:val="28"/>
                              </w:rPr>
                            </w:pPr>
                            <w:r w:rsidRPr="00181252">
                              <w:rPr>
                                <w:color w:val="FFFFFF" w:themeColor="background1"/>
                                <w:sz w:val="28"/>
                                <w:szCs w:val="28"/>
                              </w:rPr>
                              <w:t>(a)</w:t>
                            </w:r>
                          </w:p>
                        </w:txbxContent>
                      </v:textbox>
                    </v:shape>
                  </w:pict>
                </mc:Fallback>
              </mc:AlternateContent>
            </w:r>
            <w:r>
              <w:rPr>
                <w:noProof/>
                <w:sz w:val="24"/>
                <w:szCs w:val="24"/>
              </w:rPr>
              <w:drawing>
                <wp:inline distT="0" distB="0" distL="0" distR="0" wp14:anchorId="554ED089" wp14:editId="587DB9EC">
                  <wp:extent cx="3794311" cy="180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4311" cy="1800000"/>
                          </a:xfrm>
                          <a:prstGeom prst="rect">
                            <a:avLst/>
                          </a:prstGeom>
                          <a:noFill/>
                        </pic:spPr>
                      </pic:pic>
                    </a:graphicData>
                  </a:graphic>
                </wp:inline>
              </w:drawing>
            </w:r>
          </w:p>
          <w:p w14:paraId="1963A240" w14:textId="380EB5A8" w:rsidR="00181252" w:rsidRDefault="00181252" w:rsidP="00181252">
            <w:pPr>
              <w:jc w:val="center"/>
              <w:rPr>
                <w:sz w:val="24"/>
                <w:szCs w:val="24"/>
              </w:rPr>
            </w:pPr>
          </w:p>
          <w:p w14:paraId="060A4735" w14:textId="33CEAA24" w:rsidR="00F22C44" w:rsidRDefault="00181252" w:rsidP="00181252">
            <w:pPr>
              <w:jc w:val="center"/>
              <w:rPr>
                <w:sz w:val="24"/>
                <w:szCs w:val="24"/>
              </w:rPr>
            </w:pPr>
            <w:r w:rsidRPr="00181252">
              <w:rPr>
                <w:noProof/>
                <w:sz w:val="24"/>
              </w:rPr>
              <mc:AlternateContent>
                <mc:Choice Requires="wps">
                  <w:drawing>
                    <wp:anchor distT="45720" distB="45720" distL="114300" distR="114300" simplePos="0" relativeHeight="251669504" behindDoc="0" locked="0" layoutInCell="1" allowOverlap="1" wp14:anchorId="2DDA1CE7" wp14:editId="2CF7B2ED">
                      <wp:simplePos x="0" y="0"/>
                      <wp:positionH relativeFrom="column">
                        <wp:posOffset>111125</wp:posOffset>
                      </wp:positionH>
                      <wp:positionV relativeFrom="paragraph">
                        <wp:posOffset>1874520</wp:posOffset>
                      </wp:positionV>
                      <wp:extent cx="495300" cy="295275"/>
                      <wp:effectExtent l="0" t="0" r="0" b="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51571E4F" w14:textId="39D8EAED"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e</w:t>
                                  </w:r>
                                  <w:r w:rsidRPr="0018125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A1CE7" id="_x0000_s1030" type="#_x0000_t202" style="position:absolute;left:0;text-align:left;margin-left:8.75pt;margin-top:147.6pt;width:39pt;height:2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" filled="f" stroked="f">
                      <v:textbox>
                        <w:txbxContent>
                          <w:p w14:paraId="51571E4F" w14:textId="39D8EAED"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e</w:t>
                            </w:r>
                            <w:r w:rsidRPr="00181252">
                              <w:rPr>
                                <w:color w:val="FFFFFF" w:themeColor="background1"/>
                                <w:sz w:val="28"/>
                                <w:szCs w:val="28"/>
                              </w:rPr>
                              <w:t>)</w:t>
                            </w:r>
                          </w:p>
                        </w:txbxContent>
                      </v:textbox>
                    </v:shape>
                  </w:pict>
                </mc:Fallback>
              </mc:AlternateContent>
            </w:r>
            <w:r w:rsidRPr="00181252">
              <w:rPr>
                <w:noProof/>
                <w:sz w:val="24"/>
              </w:rPr>
              <mc:AlternateContent>
                <mc:Choice Requires="wps">
                  <w:drawing>
                    <wp:anchor distT="45720" distB="45720" distL="114300" distR="114300" simplePos="0" relativeHeight="251667456" behindDoc="0" locked="0" layoutInCell="1" allowOverlap="1" wp14:anchorId="5F17D070" wp14:editId="3A8FDD4E">
                      <wp:simplePos x="0" y="0"/>
                      <wp:positionH relativeFrom="column">
                        <wp:posOffset>66675</wp:posOffset>
                      </wp:positionH>
                      <wp:positionV relativeFrom="paragraph">
                        <wp:posOffset>755015</wp:posOffset>
                      </wp:positionV>
                      <wp:extent cx="495300" cy="2952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369C5167" w14:textId="58786566"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d</w:t>
                                  </w:r>
                                  <w:r w:rsidRPr="0018125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D070" id="_x0000_s1031" type="#_x0000_t202" style="position:absolute;left:0;text-align:left;margin-left:5.25pt;margin-top:59.45pt;width:39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" filled="f" stroked="f">
                      <v:textbox>
                        <w:txbxContent>
                          <w:p w14:paraId="369C5167" w14:textId="58786566" w:rsidR="00181252" w:rsidRPr="00181252" w:rsidRDefault="00181252" w:rsidP="00181252">
                            <w:pPr>
                              <w:rPr>
                                <w:color w:val="FFFFFF" w:themeColor="background1"/>
                                <w:sz w:val="28"/>
                                <w:szCs w:val="28"/>
                              </w:rPr>
                            </w:pPr>
                            <w:r w:rsidRPr="00181252">
                              <w:rPr>
                                <w:color w:val="FFFFFF" w:themeColor="background1"/>
                                <w:sz w:val="28"/>
                                <w:szCs w:val="28"/>
                              </w:rPr>
                              <w:t>(</w:t>
                            </w:r>
                            <w:r>
                              <w:rPr>
                                <w:color w:val="FFFFFF" w:themeColor="background1"/>
                                <w:sz w:val="28"/>
                                <w:szCs w:val="28"/>
                              </w:rPr>
                              <w:t>d</w:t>
                            </w:r>
                            <w:r w:rsidRPr="00181252">
                              <w:rPr>
                                <w:color w:val="FFFFFF" w:themeColor="background1"/>
                                <w:sz w:val="28"/>
                                <w:szCs w:val="28"/>
                              </w:rPr>
                              <w:t>)</w:t>
                            </w:r>
                          </w:p>
                        </w:txbxContent>
                      </v:textbox>
                    </v:shape>
                  </w:pict>
                </mc:Fallback>
              </mc:AlternateContent>
            </w:r>
            <w:r>
              <w:rPr>
                <w:noProof/>
                <w:sz w:val="24"/>
                <w:szCs w:val="24"/>
              </w:rPr>
              <w:drawing>
                <wp:inline distT="0" distB="0" distL="0" distR="0" wp14:anchorId="64A3BA36" wp14:editId="44B1D48E">
                  <wp:extent cx="6118902" cy="21812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3030" cy="2186261"/>
                          </a:xfrm>
                          <a:prstGeom prst="rect">
                            <a:avLst/>
                          </a:prstGeom>
                          <a:noFill/>
                        </pic:spPr>
                      </pic:pic>
                    </a:graphicData>
                  </a:graphic>
                </wp:inline>
              </w:drawing>
            </w:r>
          </w:p>
          <w:p w14:paraId="28EF0C9B" w14:textId="12092D61" w:rsidR="00035E66" w:rsidRDefault="00F22C44">
            <w:pPr>
              <w:pStyle w:val="TableParagraph"/>
              <w:spacing w:before="5"/>
              <w:rPr>
                <w:sz w:val="24"/>
              </w:rPr>
            </w:pPr>
            <w:r>
              <w:rPr>
                <w:sz w:val="24"/>
              </w:rPr>
              <w:t xml:space="preserve">Esempio di una sezione </w:t>
            </w:r>
            <w:proofErr w:type="spellStart"/>
            <w:r w:rsidRPr="00D563B9">
              <w:rPr>
                <w:i/>
                <w:iCs/>
                <w:sz w:val="24"/>
              </w:rPr>
              <w:t>xy</w:t>
            </w:r>
            <w:proofErr w:type="spellEnd"/>
            <w:r>
              <w:rPr>
                <w:sz w:val="24"/>
              </w:rPr>
              <w:t xml:space="preserve"> (</w:t>
            </w:r>
            <w:r w:rsidR="00181252">
              <w:rPr>
                <w:sz w:val="24"/>
              </w:rPr>
              <w:t>c</w:t>
            </w:r>
            <w:r>
              <w:rPr>
                <w:sz w:val="24"/>
              </w:rPr>
              <w:t xml:space="preserve">) e </w:t>
            </w:r>
            <w:proofErr w:type="spellStart"/>
            <w:r w:rsidRPr="00D563B9">
              <w:rPr>
                <w:i/>
                <w:iCs/>
                <w:sz w:val="24"/>
              </w:rPr>
              <w:t>yz</w:t>
            </w:r>
            <w:proofErr w:type="spellEnd"/>
            <w:r w:rsidR="00181252">
              <w:rPr>
                <w:sz w:val="24"/>
              </w:rPr>
              <w:t xml:space="preserve"> (d, e) in corrispondenza delle linee bianche in (d)</w:t>
            </w:r>
            <w:r>
              <w:rPr>
                <w:sz w:val="24"/>
              </w:rPr>
              <w:t>.</w:t>
            </w:r>
            <w:r w:rsidR="00181252" w:rsidRPr="00181252">
              <w:rPr>
                <w:noProof/>
                <w:sz w:val="24"/>
              </w:rPr>
              <w:t xml:space="preserve"> </w:t>
            </w:r>
          </w:p>
          <w:p w14:paraId="41EBCB1E" w14:textId="17DA334F" w:rsidR="00035E66" w:rsidRPr="00F72635" w:rsidRDefault="00035E66">
            <w:pPr>
              <w:pStyle w:val="TableParagraph"/>
              <w:spacing w:before="5"/>
              <w:rPr>
                <w:sz w:val="23"/>
              </w:rPr>
            </w:pPr>
          </w:p>
        </w:tc>
      </w:tr>
      <w:tr w:rsidR="00035E66" w14:paraId="451309E3" w14:textId="77777777">
        <w:trPr>
          <w:trHeight w:val="3588"/>
        </w:trPr>
        <w:tc>
          <w:tcPr>
            <w:tcW w:w="9856" w:type="dxa"/>
          </w:tcPr>
          <w:p w14:paraId="720EA8F8" w14:textId="77777777" w:rsidR="00035E66" w:rsidRDefault="00035E66">
            <w:pPr>
              <w:pStyle w:val="TableParagraph"/>
              <w:spacing w:before="5"/>
              <w:rPr>
                <w:sz w:val="23"/>
              </w:rPr>
            </w:pPr>
          </w:p>
          <w:p w14:paraId="7EFA9983" w14:textId="197A82F4" w:rsidR="00035E66" w:rsidRDefault="00035E66" w:rsidP="00035E66">
            <w:pPr>
              <w:pStyle w:val="TableParagraph"/>
              <w:spacing w:line="275" w:lineRule="exact"/>
              <w:ind w:left="107"/>
              <w:rPr>
                <w:b/>
                <w:sz w:val="24"/>
              </w:rPr>
            </w:pPr>
            <w:r>
              <w:rPr>
                <w:b/>
                <w:sz w:val="24"/>
              </w:rPr>
              <w:t>MAGGIORI INFORMAZIONI:</w:t>
            </w:r>
          </w:p>
          <w:p w14:paraId="0BFE8F21" w14:textId="77777777" w:rsidR="00384BB1" w:rsidRDefault="00384BB1" w:rsidP="00035E66">
            <w:pPr>
              <w:pStyle w:val="TableParagraph"/>
              <w:spacing w:line="275" w:lineRule="exact"/>
              <w:ind w:left="107"/>
              <w:rPr>
                <w:b/>
                <w:sz w:val="24"/>
              </w:rPr>
            </w:pPr>
          </w:p>
          <w:p w14:paraId="3C8C3BE6" w14:textId="77777777" w:rsidR="008A2F66" w:rsidRPr="008A2F66" w:rsidRDefault="008A2F66" w:rsidP="00160930">
            <w:pPr>
              <w:pStyle w:val="ECVBusinessSectorRow"/>
              <w:numPr>
                <w:ilvl w:val="0"/>
                <w:numId w:val="1"/>
              </w:numPr>
              <w:ind w:left="447" w:hanging="283"/>
              <w:rPr>
                <w:rFonts w:ascii="Times New Roman" w:eastAsia="Times New Roman" w:hAnsi="Times New Roman" w:cs="Times New Roman"/>
                <w:color w:val="auto"/>
                <w:spacing w:val="0"/>
                <w:kern w:val="0"/>
                <w:sz w:val="24"/>
                <w:szCs w:val="22"/>
                <w:lang w:eastAsia="en-US" w:bidi="ar-SA"/>
              </w:rPr>
            </w:pPr>
            <w:r w:rsidRPr="00384BB1">
              <w:rPr>
                <w:rFonts w:ascii="Times New Roman" w:eastAsia="Times New Roman" w:hAnsi="Times New Roman" w:cs="Times New Roman"/>
                <w:color w:val="auto"/>
                <w:spacing w:val="0"/>
                <w:kern w:val="0"/>
                <w:sz w:val="24"/>
                <w:szCs w:val="22"/>
                <w:lang w:val="en-US" w:eastAsia="en-US" w:bidi="ar-SA"/>
              </w:rPr>
              <w:t xml:space="preserve">P. </w:t>
            </w:r>
            <w:proofErr w:type="spellStart"/>
            <w:r w:rsidRPr="00384BB1">
              <w:rPr>
                <w:rFonts w:ascii="Times New Roman" w:eastAsia="Times New Roman" w:hAnsi="Times New Roman" w:cs="Times New Roman"/>
                <w:color w:val="auto"/>
                <w:spacing w:val="0"/>
                <w:kern w:val="0"/>
                <w:sz w:val="24"/>
                <w:szCs w:val="22"/>
                <w:lang w:val="en-US" w:eastAsia="en-US" w:bidi="ar-SA"/>
              </w:rPr>
              <w:t>Targowski</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M. </w:t>
            </w:r>
            <w:proofErr w:type="spellStart"/>
            <w:r w:rsidRPr="00384BB1">
              <w:rPr>
                <w:rFonts w:ascii="Times New Roman" w:eastAsia="Times New Roman" w:hAnsi="Times New Roman" w:cs="Times New Roman"/>
                <w:color w:val="auto"/>
                <w:spacing w:val="0"/>
                <w:kern w:val="0"/>
                <w:sz w:val="24"/>
                <w:szCs w:val="22"/>
                <w:lang w:val="en-US" w:eastAsia="en-US" w:bidi="ar-SA"/>
              </w:rPr>
              <w:t>Iwanicka</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M. </w:t>
            </w:r>
            <w:proofErr w:type="spellStart"/>
            <w:r w:rsidRPr="00384BB1">
              <w:rPr>
                <w:rFonts w:ascii="Times New Roman" w:eastAsia="Times New Roman" w:hAnsi="Times New Roman" w:cs="Times New Roman"/>
                <w:color w:val="auto"/>
                <w:spacing w:val="0"/>
                <w:kern w:val="0"/>
                <w:sz w:val="24"/>
                <w:szCs w:val="22"/>
                <w:lang w:val="en-US" w:eastAsia="en-US" w:bidi="ar-SA"/>
              </w:rPr>
              <w:t>Sylwestrzak</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C. </w:t>
            </w:r>
            <w:proofErr w:type="spellStart"/>
            <w:r w:rsidRPr="00384BB1">
              <w:rPr>
                <w:rFonts w:ascii="Times New Roman" w:eastAsia="Times New Roman" w:hAnsi="Times New Roman" w:cs="Times New Roman"/>
                <w:color w:val="auto"/>
                <w:spacing w:val="0"/>
                <w:kern w:val="0"/>
                <w:sz w:val="24"/>
                <w:szCs w:val="22"/>
                <w:lang w:val="en-US" w:eastAsia="en-US" w:bidi="ar-SA"/>
              </w:rPr>
              <w:t>Frosinini</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J. </w:t>
            </w:r>
            <w:proofErr w:type="spellStart"/>
            <w:r w:rsidRPr="00384BB1">
              <w:rPr>
                <w:rFonts w:ascii="Times New Roman" w:eastAsia="Times New Roman" w:hAnsi="Times New Roman" w:cs="Times New Roman"/>
                <w:color w:val="auto"/>
                <w:spacing w:val="0"/>
                <w:kern w:val="0"/>
                <w:sz w:val="24"/>
                <w:szCs w:val="22"/>
                <w:lang w:val="en-US" w:eastAsia="en-US" w:bidi="ar-SA"/>
              </w:rPr>
              <w:t>Striova</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R. Fontana, Using Optical Coherence Tomography to Reveal the Hidden History of The </w:t>
            </w:r>
            <w:proofErr w:type="spellStart"/>
            <w:r w:rsidRPr="00384BB1">
              <w:rPr>
                <w:rFonts w:ascii="Times New Roman" w:eastAsia="Times New Roman" w:hAnsi="Times New Roman" w:cs="Times New Roman"/>
                <w:color w:val="auto"/>
                <w:spacing w:val="0"/>
                <w:kern w:val="0"/>
                <w:sz w:val="24"/>
                <w:szCs w:val="22"/>
                <w:lang w:val="en-US" w:eastAsia="en-US" w:bidi="ar-SA"/>
              </w:rPr>
              <w:t>Landsdowne</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Virgin of the </w:t>
            </w:r>
            <w:proofErr w:type="spellStart"/>
            <w:r w:rsidRPr="00384BB1">
              <w:rPr>
                <w:rFonts w:ascii="Times New Roman" w:eastAsia="Times New Roman" w:hAnsi="Times New Roman" w:cs="Times New Roman"/>
                <w:color w:val="auto"/>
                <w:spacing w:val="0"/>
                <w:kern w:val="0"/>
                <w:sz w:val="24"/>
                <w:szCs w:val="22"/>
                <w:lang w:val="en-US" w:eastAsia="en-US" w:bidi="ar-SA"/>
              </w:rPr>
              <w:t>Yarnwinder</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by Leonardo da Vinci and Studio, </w:t>
            </w:r>
            <w:proofErr w:type="spellStart"/>
            <w:r w:rsidRPr="00384BB1">
              <w:rPr>
                <w:rFonts w:ascii="Times New Roman" w:eastAsia="Times New Roman" w:hAnsi="Times New Roman" w:cs="Times New Roman"/>
                <w:color w:val="auto"/>
                <w:spacing w:val="0"/>
                <w:kern w:val="0"/>
                <w:sz w:val="24"/>
                <w:szCs w:val="22"/>
                <w:lang w:val="en-US" w:eastAsia="en-US" w:bidi="ar-SA"/>
              </w:rPr>
              <w:t>Angew</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w:t>
            </w:r>
            <w:proofErr w:type="spellStart"/>
            <w:r w:rsidRPr="008A2F66">
              <w:rPr>
                <w:rFonts w:ascii="Times New Roman" w:eastAsia="Times New Roman" w:hAnsi="Times New Roman" w:cs="Times New Roman"/>
                <w:color w:val="auto"/>
                <w:spacing w:val="0"/>
                <w:kern w:val="0"/>
                <w:sz w:val="24"/>
                <w:szCs w:val="22"/>
                <w:lang w:eastAsia="en-US" w:bidi="ar-SA"/>
              </w:rPr>
              <w:t>Chem</w:t>
            </w:r>
            <w:proofErr w:type="spellEnd"/>
            <w:r w:rsidRPr="008A2F66">
              <w:rPr>
                <w:rFonts w:ascii="Times New Roman" w:eastAsia="Times New Roman" w:hAnsi="Times New Roman" w:cs="Times New Roman"/>
                <w:color w:val="auto"/>
                <w:spacing w:val="0"/>
                <w:kern w:val="0"/>
                <w:sz w:val="24"/>
                <w:szCs w:val="22"/>
                <w:lang w:eastAsia="en-US" w:bidi="ar-SA"/>
              </w:rPr>
              <w:t>. Int. Ed. 2018, 57,7396-7400 (2018)</w:t>
            </w:r>
          </w:p>
          <w:p w14:paraId="70EB8534" w14:textId="77777777" w:rsidR="008A2F66" w:rsidRPr="00384BB1" w:rsidRDefault="008A2F66" w:rsidP="00160930">
            <w:pPr>
              <w:pStyle w:val="ECVBusinessSectorRow"/>
              <w:numPr>
                <w:ilvl w:val="0"/>
                <w:numId w:val="1"/>
              </w:numPr>
              <w:ind w:left="447" w:hanging="283"/>
              <w:rPr>
                <w:rFonts w:ascii="Times New Roman" w:eastAsia="Times New Roman" w:hAnsi="Times New Roman" w:cs="Times New Roman"/>
                <w:color w:val="auto"/>
                <w:spacing w:val="0"/>
                <w:kern w:val="0"/>
                <w:sz w:val="24"/>
                <w:szCs w:val="22"/>
                <w:lang w:val="en-US" w:eastAsia="en-US" w:bidi="ar-SA"/>
              </w:rPr>
            </w:pPr>
            <w:r w:rsidRPr="00384BB1">
              <w:rPr>
                <w:rFonts w:ascii="Times New Roman" w:eastAsia="Times New Roman" w:hAnsi="Times New Roman" w:cs="Times New Roman"/>
                <w:color w:val="auto"/>
                <w:spacing w:val="0"/>
                <w:kern w:val="0"/>
                <w:sz w:val="24"/>
                <w:szCs w:val="22"/>
                <w:lang w:val="en-US" w:eastAsia="en-US" w:bidi="ar-SA"/>
              </w:rPr>
              <w:t xml:space="preserve">J. </w:t>
            </w:r>
            <w:proofErr w:type="spellStart"/>
            <w:r w:rsidRPr="00384BB1">
              <w:rPr>
                <w:rFonts w:ascii="Times New Roman" w:eastAsia="Times New Roman" w:hAnsi="Times New Roman" w:cs="Times New Roman"/>
                <w:color w:val="auto"/>
                <w:spacing w:val="0"/>
                <w:kern w:val="0"/>
                <w:sz w:val="24"/>
                <w:szCs w:val="22"/>
                <w:lang w:val="en-US" w:eastAsia="en-US" w:bidi="ar-SA"/>
              </w:rPr>
              <w:t>Striova</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A. Dal </w:t>
            </w:r>
            <w:proofErr w:type="spellStart"/>
            <w:r w:rsidRPr="00384BB1">
              <w:rPr>
                <w:rFonts w:ascii="Times New Roman" w:eastAsia="Times New Roman" w:hAnsi="Times New Roman" w:cs="Times New Roman"/>
                <w:color w:val="auto"/>
                <w:spacing w:val="0"/>
                <w:kern w:val="0"/>
                <w:sz w:val="24"/>
                <w:szCs w:val="22"/>
                <w:lang w:val="en-US" w:eastAsia="en-US" w:bidi="ar-SA"/>
              </w:rPr>
              <w:t>Fovo</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V. </w:t>
            </w:r>
            <w:proofErr w:type="spellStart"/>
            <w:r w:rsidRPr="00384BB1">
              <w:rPr>
                <w:rFonts w:ascii="Times New Roman" w:eastAsia="Times New Roman" w:hAnsi="Times New Roman" w:cs="Times New Roman"/>
                <w:color w:val="auto"/>
                <w:spacing w:val="0"/>
                <w:kern w:val="0"/>
                <w:sz w:val="24"/>
                <w:szCs w:val="22"/>
                <w:lang w:val="en-US" w:eastAsia="en-US" w:bidi="ar-SA"/>
              </w:rPr>
              <w:t>Fontani</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M. </w:t>
            </w:r>
            <w:proofErr w:type="spellStart"/>
            <w:r w:rsidRPr="00384BB1">
              <w:rPr>
                <w:rFonts w:ascii="Times New Roman" w:eastAsia="Times New Roman" w:hAnsi="Times New Roman" w:cs="Times New Roman"/>
                <w:color w:val="auto"/>
                <w:spacing w:val="0"/>
                <w:kern w:val="0"/>
                <w:sz w:val="24"/>
                <w:szCs w:val="22"/>
                <w:lang w:val="en-US" w:eastAsia="en-US" w:bidi="ar-SA"/>
              </w:rPr>
              <w:t>Barucci</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E. </w:t>
            </w:r>
            <w:proofErr w:type="spellStart"/>
            <w:r w:rsidRPr="00384BB1">
              <w:rPr>
                <w:rFonts w:ascii="Times New Roman" w:eastAsia="Times New Roman" w:hAnsi="Times New Roman" w:cs="Times New Roman"/>
                <w:color w:val="auto"/>
                <w:spacing w:val="0"/>
                <w:kern w:val="0"/>
                <w:sz w:val="24"/>
                <w:szCs w:val="22"/>
                <w:lang w:val="en-US" w:eastAsia="en-US" w:bidi="ar-SA"/>
              </w:rPr>
              <w:t>Pampaloni</w:t>
            </w:r>
            <w:proofErr w:type="spellEnd"/>
            <w:r w:rsidRPr="00384BB1">
              <w:rPr>
                <w:rFonts w:ascii="Times New Roman" w:eastAsia="Times New Roman" w:hAnsi="Times New Roman" w:cs="Times New Roman"/>
                <w:color w:val="auto"/>
                <w:spacing w:val="0"/>
                <w:kern w:val="0"/>
                <w:sz w:val="24"/>
                <w:szCs w:val="22"/>
                <w:lang w:val="en-US" w:eastAsia="en-US" w:bidi="ar-SA"/>
              </w:rPr>
              <w:t xml:space="preserve">, M. </w:t>
            </w:r>
            <w:proofErr w:type="spellStart"/>
            <w:r w:rsidRPr="00384BB1">
              <w:rPr>
                <w:rFonts w:ascii="Times New Roman" w:eastAsia="Times New Roman" w:hAnsi="Times New Roman" w:cs="Times New Roman"/>
                <w:color w:val="auto"/>
                <w:spacing w:val="0"/>
                <w:kern w:val="0"/>
                <w:sz w:val="24"/>
                <w:szCs w:val="22"/>
                <w:lang w:val="en-US" w:eastAsia="en-US" w:bidi="ar-SA"/>
              </w:rPr>
              <w:t>Raffaelli</w:t>
            </w:r>
            <w:proofErr w:type="spellEnd"/>
            <w:r w:rsidRPr="00384BB1">
              <w:rPr>
                <w:rFonts w:ascii="Times New Roman" w:eastAsia="Times New Roman" w:hAnsi="Times New Roman" w:cs="Times New Roman"/>
                <w:color w:val="auto"/>
                <w:spacing w:val="0"/>
                <w:kern w:val="0"/>
                <w:sz w:val="24"/>
                <w:szCs w:val="22"/>
                <w:lang w:val="en-US" w:eastAsia="en-US" w:bidi="ar-SA"/>
              </w:rPr>
              <w:t>, R. Fontana, “Modern acrylic paints probed by optical coherence tomography and infrared reflectography</w:t>
            </w:r>
            <w:proofErr w:type="gramStart"/>
            <w:r w:rsidRPr="00384BB1">
              <w:rPr>
                <w:rFonts w:ascii="Times New Roman" w:eastAsia="Times New Roman" w:hAnsi="Times New Roman" w:cs="Times New Roman"/>
                <w:color w:val="auto"/>
                <w:spacing w:val="0"/>
                <w:kern w:val="0"/>
                <w:sz w:val="24"/>
                <w:szCs w:val="22"/>
                <w:lang w:val="en-US" w:eastAsia="en-US" w:bidi="ar-SA"/>
              </w:rPr>
              <w:t>”,  Microchemical</w:t>
            </w:r>
            <w:proofErr w:type="gramEnd"/>
            <w:r w:rsidRPr="00384BB1">
              <w:rPr>
                <w:rFonts w:ascii="Times New Roman" w:eastAsia="Times New Roman" w:hAnsi="Times New Roman" w:cs="Times New Roman"/>
                <w:color w:val="auto"/>
                <w:spacing w:val="0"/>
                <w:kern w:val="0"/>
                <w:sz w:val="24"/>
                <w:szCs w:val="22"/>
                <w:lang w:val="en-US" w:eastAsia="en-US" w:bidi="ar-SA"/>
              </w:rPr>
              <w:t xml:space="preserve"> Journal 138 (2018) 65–71</w:t>
            </w:r>
          </w:p>
          <w:p w14:paraId="6EE020C3" w14:textId="03B8F776" w:rsidR="00035E66" w:rsidRDefault="00035E66" w:rsidP="00160930">
            <w:pPr>
              <w:pStyle w:val="TableParagraph"/>
              <w:numPr>
                <w:ilvl w:val="0"/>
                <w:numId w:val="1"/>
              </w:numPr>
              <w:tabs>
                <w:tab w:val="left" w:pos="829"/>
              </w:tabs>
              <w:spacing w:before="1" w:line="237" w:lineRule="auto"/>
              <w:ind w:left="447" w:right="101" w:hanging="283"/>
              <w:jc w:val="both"/>
              <w:rPr>
                <w:sz w:val="24"/>
              </w:rPr>
            </w:pPr>
            <w:r w:rsidRPr="008A2F66">
              <w:rPr>
                <w:sz w:val="24"/>
                <w:lang w:val="en-GB"/>
              </w:rPr>
              <w:t xml:space="preserve">J. </w:t>
            </w:r>
            <w:proofErr w:type="spellStart"/>
            <w:r w:rsidRPr="008A2F66">
              <w:rPr>
                <w:sz w:val="24"/>
                <w:lang w:val="en-GB"/>
              </w:rPr>
              <w:t>Striova</w:t>
            </w:r>
            <w:proofErr w:type="spellEnd"/>
            <w:r w:rsidRPr="008A2F66">
              <w:rPr>
                <w:sz w:val="24"/>
                <w:lang w:val="en-GB"/>
              </w:rPr>
              <w:t xml:space="preserve">, R. Fontana, M. </w:t>
            </w:r>
            <w:proofErr w:type="spellStart"/>
            <w:r w:rsidRPr="008A2F66">
              <w:rPr>
                <w:sz w:val="24"/>
                <w:lang w:val="en-GB"/>
              </w:rPr>
              <w:t>Barucci</w:t>
            </w:r>
            <w:proofErr w:type="spellEnd"/>
            <w:r w:rsidRPr="008A2F66">
              <w:rPr>
                <w:sz w:val="24"/>
                <w:lang w:val="en-GB"/>
              </w:rPr>
              <w:t xml:space="preserve">, A. </w:t>
            </w:r>
            <w:proofErr w:type="spellStart"/>
            <w:r w:rsidRPr="008A2F66">
              <w:rPr>
                <w:sz w:val="24"/>
                <w:lang w:val="en-GB"/>
              </w:rPr>
              <w:t>Felici</w:t>
            </w:r>
            <w:proofErr w:type="spellEnd"/>
            <w:r w:rsidRPr="008A2F66">
              <w:rPr>
                <w:sz w:val="24"/>
                <w:lang w:val="en-GB"/>
              </w:rPr>
              <w:t xml:space="preserve">, E. Marconi, E. </w:t>
            </w:r>
            <w:proofErr w:type="spellStart"/>
            <w:r w:rsidRPr="008A2F66">
              <w:rPr>
                <w:sz w:val="24"/>
                <w:lang w:val="en-GB"/>
              </w:rPr>
              <w:t>Pampaloni</w:t>
            </w:r>
            <w:proofErr w:type="spellEnd"/>
            <w:r w:rsidRPr="008A2F66">
              <w:rPr>
                <w:sz w:val="24"/>
                <w:lang w:val="en-GB"/>
              </w:rPr>
              <w:t xml:space="preserve">, M. </w:t>
            </w:r>
            <w:proofErr w:type="spellStart"/>
            <w:r w:rsidRPr="008A2F66">
              <w:rPr>
                <w:sz w:val="24"/>
                <w:lang w:val="en-GB"/>
              </w:rPr>
              <w:t>Raffaelli</w:t>
            </w:r>
            <w:proofErr w:type="spellEnd"/>
            <w:r w:rsidRPr="008A2F66">
              <w:rPr>
                <w:sz w:val="24"/>
                <w:lang w:val="en-GB"/>
              </w:rPr>
              <w:t xml:space="preserve">, C. </w:t>
            </w:r>
            <w:proofErr w:type="spellStart"/>
            <w:r w:rsidRPr="008A2F66">
              <w:rPr>
                <w:sz w:val="24"/>
                <w:lang w:val="en-GB"/>
              </w:rPr>
              <w:t>Riminesi</w:t>
            </w:r>
            <w:proofErr w:type="spellEnd"/>
            <w:r w:rsidRPr="008A2F66">
              <w:rPr>
                <w:sz w:val="24"/>
                <w:lang w:val="en-GB"/>
              </w:rPr>
              <w:t xml:space="preserve">, Optical devices provide unprecedented insights into the laser cleaning of calcium oxalate layers, </w:t>
            </w:r>
            <w:proofErr w:type="spellStart"/>
            <w:r w:rsidRPr="008A2F66">
              <w:rPr>
                <w:sz w:val="24"/>
                <w:lang w:val="en-GB"/>
              </w:rPr>
              <w:t>Microchem</w:t>
            </w:r>
            <w:proofErr w:type="spellEnd"/>
            <w:r w:rsidRPr="008A2F66">
              <w:rPr>
                <w:sz w:val="24"/>
                <w:lang w:val="en-GB"/>
              </w:rPr>
              <w:t xml:space="preserve">. </w:t>
            </w:r>
            <w:r>
              <w:rPr>
                <w:sz w:val="24"/>
              </w:rPr>
              <w:t>J. (2016) 124</w:t>
            </w:r>
            <w:r>
              <w:rPr>
                <w:spacing w:val="-2"/>
                <w:sz w:val="24"/>
              </w:rPr>
              <w:t xml:space="preserve"> </w:t>
            </w:r>
            <w:r>
              <w:rPr>
                <w:sz w:val="24"/>
              </w:rPr>
              <w:t>(331-337)</w:t>
            </w:r>
          </w:p>
          <w:p w14:paraId="2755C184" w14:textId="77777777" w:rsidR="00035E66" w:rsidRDefault="00035E66" w:rsidP="00160930">
            <w:pPr>
              <w:pStyle w:val="TableParagraph"/>
              <w:numPr>
                <w:ilvl w:val="0"/>
                <w:numId w:val="1"/>
              </w:numPr>
              <w:tabs>
                <w:tab w:val="left" w:pos="829"/>
              </w:tabs>
              <w:spacing w:before="7" w:line="237" w:lineRule="auto"/>
              <w:ind w:left="447" w:right="100" w:hanging="283"/>
              <w:jc w:val="both"/>
              <w:rPr>
                <w:sz w:val="24"/>
              </w:rPr>
            </w:pPr>
            <w:proofErr w:type="spellStart"/>
            <w:r>
              <w:rPr>
                <w:sz w:val="24"/>
              </w:rPr>
              <w:t>Striova</w:t>
            </w:r>
            <w:proofErr w:type="spellEnd"/>
            <w:r>
              <w:rPr>
                <w:sz w:val="24"/>
              </w:rPr>
              <w:t xml:space="preserve"> J., Salvadori B., Fontana R., Sansonetti A., Barucci M., Pampaloni E., Marconi E., Pezzati L., Colombini M.P., Optical and </w:t>
            </w:r>
            <w:proofErr w:type="spellStart"/>
            <w:r>
              <w:rPr>
                <w:sz w:val="24"/>
              </w:rPr>
              <w:t>spectroscopic</w:t>
            </w:r>
            <w:proofErr w:type="spellEnd"/>
            <w:r>
              <w:rPr>
                <w:sz w:val="24"/>
              </w:rPr>
              <w:t xml:space="preserve"> tools </w:t>
            </w:r>
            <w:proofErr w:type="spellStart"/>
            <w:r>
              <w:rPr>
                <w:sz w:val="24"/>
              </w:rPr>
              <w:t>evaluating</w:t>
            </w:r>
            <w:proofErr w:type="spellEnd"/>
            <w:r>
              <w:rPr>
                <w:sz w:val="24"/>
              </w:rPr>
              <w:t xml:space="preserve"> </w:t>
            </w:r>
            <w:proofErr w:type="spellStart"/>
            <w:proofErr w:type="gramStart"/>
            <w:r>
              <w:rPr>
                <w:sz w:val="24"/>
              </w:rPr>
              <w:t>Er:YAG</w:t>
            </w:r>
            <w:proofErr w:type="spellEnd"/>
            <w:proofErr w:type="gramEnd"/>
            <w:r>
              <w:rPr>
                <w:sz w:val="24"/>
              </w:rPr>
              <w:t xml:space="preserve"> laser </w:t>
            </w:r>
            <w:proofErr w:type="spellStart"/>
            <w:r>
              <w:rPr>
                <w:sz w:val="24"/>
              </w:rPr>
              <w:t>removal</w:t>
            </w:r>
            <w:proofErr w:type="spellEnd"/>
            <w:r>
              <w:rPr>
                <w:sz w:val="24"/>
              </w:rPr>
              <w:t xml:space="preserve"> of </w:t>
            </w:r>
            <w:proofErr w:type="spellStart"/>
            <w:r>
              <w:rPr>
                <w:sz w:val="24"/>
              </w:rPr>
              <w:t>shellac</w:t>
            </w:r>
            <w:proofErr w:type="spellEnd"/>
            <w:r>
              <w:rPr>
                <w:sz w:val="24"/>
              </w:rPr>
              <w:t xml:space="preserve"> </w:t>
            </w:r>
            <w:proofErr w:type="spellStart"/>
            <w:r>
              <w:rPr>
                <w:sz w:val="24"/>
              </w:rPr>
              <w:t>varnish</w:t>
            </w:r>
            <w:proofErr w:type="spellEnd"/>
            <w:r>
              <w:rPr>
                <w:sz w:val="24"/>
              </w:rPr>
              <w:t xml:space="preserve">, </w:t>
            </w:r>
            <w:proofErr w:type="spellStart"/>
            <w:r>
              <w:rPr>
                <w:sz w:val="24"/>
              </w:rPr>
              <w:t>Stud</w:t>
            </w:r>
            <w:proofErr w:type="spellEnd"/>
            <w:r>
              <w:rPr>
                <w:sz w:val="24"/>
              </w:rPr>
              <w:t xml:space="preserve">. </w:t>
            </w:r>
            <w:proofErr w:type="spellStart"/>
            <w:r>
              <w:rPr>
                <w:sz w:val="24"/>
              </w:rPr>
              <w:t>Conserv</w:t>
            </w:r>
            <w:proofErr w:type="spellEnd"/>
            <w:r>
              <w:rPr>
                <w:sz w:val="24"/>
              </w:rPr>
              <w:t>. (2015) 60</w:t>
            </w:r>
            <w:r>
              <w:rPr>
                <w:spacing w:val="-2"/>
                <w:sz w:val="24"/>
              </w:rPr>
              <w:t xml:space="preserve"> </w:t>
            </w:r>
            <w:r>
              <w:rPr>
                <w:sz w:val="24"/>
              </w:rPr>
              <w:t>S91-96</w:t>
            </w:r>
          </w:p>
          <w:p w14:paraId="1FEDB55A" w14:textId="77777777" w:rsidR="00035E66" w:rsidRPr="00BE774E" w:rsidRDefault="00035E66" w:rsidP="00160930">
            <w:pPr>
              <w:widowControl/>
              <w:numPr>
                <w:ilvl w:val="0"/>
                <w:numId w:val="1"/>
              </w:numPr>
              <w:autoSpaceDE/>
              <w:autoSpaceDN/>
              <w:ind w:left="447" w:hanging="283"/>
              <w:jc w:val="both"/>
              <w:rPr>
                <w:sz w:val="24"/>
                <w:szCs w:val="24"/>
              </w:rPr>
            </w:pPr>
            <w:r w:rsidRPr="0016031B">
              <w:rPr>
                <w:sz w:val="24"/>
                <w:szCs w:val="24"/>
              </w:rPr>
              <w:t xml:space="preserve">C. </w:t>
            </w:r>
            <w:proofErr w:type="spellStart"/>
            <w:r w:rsidRPr="0016031B">
              <w:rPr>
                <w:sz w:val="24"/>
                <w:szCs w:val="24"/>
              </w:rPr>
              <w:t>Daffara</w:t>
            </w:r>
            <w:proofErr w:type="spellEnd"/>
            <w:r w:rsidRPr="0016031B">
              <w:rPr>
                <w:sz w:val="24"/>
                <w:szCs w:val="24"/>
              </w:rPr>
              <w:t xml:space="preserve">, R. Fontana, L. Pezzati, “NIR </w:t>
            </w:r>
            <w:proofErr w:type="spellStart"/>
            <w:r w:rsidRPr="0016031B">
              <w:rPr>
                <w:sz w:val="24"/>
                <w:szCs w:val="24"/>
              </w:rPr>
              <w:t>confocal</w:t>
            </w:r>
            <w:proofErr w:type="spellEnd"/>
            <w:r w:rsidRPr="0016031B">
              <w:rPr>
                <w:sz w:val="24"/>
                <w:szCs w:val="24"/>
              </w:rPr>
              <w:t xml:space="preserve"> </w:t>
            </w:r>
            <w:proofErr w:type="spellStart"/>
            <w:r w:rsidRPr="0016031B">
              <w:rPr>
                <w:sz w:val="24"/>
                <w:szCs w:val="24"/>
              </w:rPr>
              <w:t>microscopy</w:t>
            </w:r>
            <w:proofErr w:type="spellEnd"/>
            <w:r w:rsidRPr="0016031B">
              <w:rPr>
                <w:sz w:val="24"/>
                <w:szCs w:val="24"/>
              </w:rPr>
              <w:t xml:space="preserve"> for painting </w:t>
            </w:r>
            <w:proofErr w:type="spellStart"/>
            <w:r w:rsidRPr="0016031B">
              <w:rPr>
                <w:sz w:val="24"/>
                <w:szCs w:val="24"/>
              </w:rPr>
              <w:t>disgnostics</w:t>
            </w:r>
            <w:proofErr w:type="spellEnd"/>
            <w:r w:rsidRPr="0016031B">
              <w:rPr>
                <w:sz w:val="24"/>
                <w:szCs w:val="24"/>
              </w:rPr>
              <w:t>”, Proc. SPIE Vol. 7391, Editor(s) Luca Pezzati, Renzo Salimbeni (2009)</w:t>
            </w:r>
          </w:p>
          <w:p w14:paraId="2F1EA0FE" w14:textId="5CE99EE1" w:rsidR="00035E66" w:rsidRPr="00B47880" w:rsidRDefault="00035E66" w:rsidP="00160930">
            <w:pPr>
              <w:pStyle w:val="TableParagraph"/>
              <w:numPr>
                <w:ilvl w:val="0"/>
                <w:numId w:val="1"/>
              </w:numPr>
              <w:tabs>
                <w:tab w:val="left" w:pos="829"/>
              </w:tabs>
              <w:spacing w:before="1" w:line="237" w:lineRule="auto"/>
              <w:ind w:left="447" w:right="101" w:hanging="283"/>
              <w:jc w:val="both"/>
              <w:rPr>
                <w:sz w:val="23"/>
              </w:rPr>
            </w:pPr>
            <w:r w:rsidRPr="006805D2">
              <w:rPr>
                <w:sz w:val="24"/>
              </w:rPr>
              <w:t xml:space="preserve">T. </w:t>
            </w:r>
            <w:proofErr w:type="spellStart"/>
            <w:r w:rsidRPr="006805D2">
              <w:rPr>
                <w:sz w:val="24"/>
              </w:rPr>
              <w:t>Arecchi</w:t>
            </w:r>
            <w:proofErr w:type="spellEnd"/>
            <w:r w:rsidRPr="006805D2">
              <w:rPr>
                <w:sz w:val="24"/>
              </w:rPr>
              <w:t xml:space="preserve">, M. Bellini, C. Corsi, R. Fontana, M. Materazzi, L. Pezzati, A. Tortora, “A new tool for painting </w:t>
            </w:r>
            <w:proofErr w:type="spellStart"/>
            <w:r w:rsidRPr="006805D2">
              <w:rPr>
                <w:sz w:val="24"/>
              </w:rPr>
              <w:t>diagnostics</w:t>
            </w:r>
            <w:proofErr w:type="spellEnd"/>
            <w:r w:rsidRPr="006805D2">
              <w:rPr>
                <w:sz w:val="24"/>
              </w:rPr>
              <w:t xml:space="preserve">: Optical </w:t>
            </w:r>
            <w:proofErr w:type="spellStart"/>
            <w:r w:rsidRPr="006805D2">
              <w:rPr>
                <w:sz w:val="24"/>
              </w:rPr>
              <w:t>coherence</w:t>
            </w:r>
            <w:proofErr w:type="spellEnd"/>
            <w:r w:rsidRPr="006805D2">
              <w:rPr>
                <w:sz w:val="24"/>
              </w:rPr>
              <w:t xml:space="preserve"> </w:t>
            </w:r>
            <w:proofErr w:type="spellStart"/>
            <w:r w:rsidRPr="006805D2">
              <w:rPr>
                <w:sz w:val="24"/>
              </w:rPr>
              <w:t>tomography</w:t>
            </w:r>
            <w:proofErr w:type="spellEnd"/>
            <w:r w:rsidRPr="006805D2">
              <w:rPr>
                <w:sz w:val="24"/>
              </w:rPr>
              <w:t xml:space="preserve">”, </w:t>
            </w:r>
            <w:proofErr w:type="spellStart"/>
            <w:r w:rsidRPr="006805D2">
              <w:rPr>
                <w:sz w:val="24"/>
              </w:rPr>
              <w:t>Optics</w:t>
            </w:r>
            <w:proofErr w:type="spellEnd"/>
            <w:r w:rsidRPr="006805D2">
              <w:rPr>
                <w:sz w:val="24"/>
              </w:rPr>
              <w:t xml:space="preserve"> and </w:t>
            </w:r>
            <w:proofErr w:type="spellStart"/>
            <w:r w:rsidRPr="006805D2">
              <w:rPr>
                <w:sz w:val="24"/>
              </w:rPr>
              <w:t>Spectroscopy</w:t>
            </w:r>
            <w:proofErr w:type="spellEnd"/>
            <w:r w:rsidRPr="006805D2">
              <w:rPr>
                <w:sz w:val="24"/>
              </w:rPr>
              <w:t>,</w:t>
            </w:r>
            <w:r>
              <w:rPr>
                <w:sz w:val="24"/>
              </w:rPr>
              <w:t xml:space="preserve"> </w:t>
            </w:r>
            <w:r w:rsidRPr="006805D2">
              <w:rPr>
                <w:sz w:val="24"/>
              </w:rPr>
              <w:t>Vol. 101 n. 1, 23-26 (2006)</w:t>
            </w:r>
          </w:p>
        </w:tc>
      </w:tr>
    </w:tbl>
    <w:p w14:paraId="3000A0CF" w14:textId="0C53F0A8" w:rsidR="00EF08A9" w:rsidRDefault="00EF08A9" w:rsidP="00035E66">
      <w:pPr>
        <w:spacing w:before="8"/>
        <w:rPr>
          <w:sz w:val="29"/>
        </w:rPr>
      </w:pPr>
    </w:p>
    <w:p w14:paraId="4F98A19C" w14:textId="2E23DA9E" w:rsidR="00035E66" w:rsidRPr="0072455A" w:rsidRDefault="00035E66" w:rsidP="00035E66">
      <w:pPr>
        <w:pStyle w:val="Corpotesto"/>
        <w:spacing w:before="57"/>
        <w:ind w:left="212"/>
        <w:rPr>
          <w:rFonts w:ascii="Times New Roman" w:hAnsi="Times New Roman" w:cs="Times New Roman"/>
        </w:rPr>
      </w:pPr>
      <w:r w:rsidRPr="0072455A">
        <w:rPr>
          <w:rFonts w:ascii="Times New Roman" w:hAnsi="Times New Roman" w:cs="Times New Roman"/>
        </w:rPr>
        <w:t>Referente: Raffaella Fontana (raffaella.fontana@ino</w:t>
      </w:r>
      <w:r>
        <w:rPr>
          <w:rFonts w:ascii="Times New Roman" w:hAnsi="Times New Roman" w:cs="Times New Roman"/>
        </w:rPr>
        <w:t>.cnr</w:t>
      </w:r>
      <w:r w:rsidRPr="0072455A">
        <w:rPr>
          <w:rFonts w:ascii="Times New Roman" w:hAnsi="Times New Roman" w:cs="Times New Roman"/>
        </w:rPr>
        <w:t>.it)</w:t>
      </w:r>
    </w:p>
    <w:p w14:paraId="0B442052" w14:textId="77777777" w:rsidR="00035E66" w:rsidRDefault="00035E66" w:rsidP="00035E66">
      <w:pPr>
        <w:spacing w:before="8"/>
        <w:rPr>
          <w:sz w:val="29"/>
        </w:rPr>
      </w:pPr>
    </w:p>
    <w:sectPr w:rsidR="00035E66">
      <w:pgSz w:w="11910" w:h="16840"/>
      <w:pgMar w:top="1400" w:right="90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D760E"/>
    <w:multiLevelType w:val="hybridMultilevel"/>
    <w:tmpl w:val="4D8EBE9E"/>
    <w:lvl w:ilvl="0" w:tplc="885EE556">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 w15:restartNumberingAfterBreak="0">
    <w:nsid w:val="63FD38AC"/>
    <w:multiLevelType w:val="hybridMultilevel"/>
    <w:tmpl w:val="DA5EC0FA"/>
    <w:lvl w:ilvl="0" w:tplc="E9B460E2">
      <w:numFmt w:val="bullet"/>
      <w:lvlText w:val=""/>
      <w:lvlJc w:val="left"/>
      <w:pPr>
        <w:ind w:left="828" w:hanging="360"/>
      </w:pPr>
      <w:rPr>
        <w:rFonts w:ascii="Symbol" w:eastAsia="Symbol" w:hAnsi="Symbol" w:cs="Symbol" w:hint="default"/>
        <w:w w:val="100"/>
        <w:sz w:val="24"/>
        <w:szCs w:val="24"/>
        <w:lang w:val="it-IT" w:eastAsia="en-US" w:bidi="ar-SA"/>
      </w:rPr>
    </w:lvl>
    <w:lvl w:ilvl="1" w:tplc="492A282C">
      <w:numFmt w:val="bullet"/>
      <w:lvlText w:val="•"/>
      <w:lvlJc w:val="left"/>
      <w:pPr>
        <w:ind w:left="1722" w:hanging="360"/>
      </w:pPr>
      <w:rPr>
        <w:rFonts w:hint="default"/>
        <w:lang w:val="it-IT" w:eastAsia="en-US" w:bidi="ar-SA"/>
      </w:rPr>
    </w:lvl>
    <w:lvl w:ilvl="2" w:tplc="88301C7C">
      <w:numFmt w:val="bullet"/>
      <w:lvlText w:val="•"/>
      <w:lvlJc w:val="left"/>
      <w:pPr>
        <w:ind w:left="2625" w:hanging="360"/>
      </w:pPr>
      <w:rPr>
        <w:rFonts w:hint="default"/>
        <w:lang w:val="it-IT" w:eastAsia="en-US" w:bidi="ar-SA"/>
      </w:rPr>
    </w:lvl>
    <w:lvl w:ilvl="3" w:tplc="365CAFC6">
      <w:numFmt w:val="bullet"/>
      <w:lvlText w:val="•"/>
      <w:lvlJc w:val="left"/>
      <w:pPr>
        <w:ind w:left="3527" w:hanging="360"/>
      </w:pPr>
      <w:rPr>
        <w:rFonts w:hint="default"/>
        <w:lang w:val="it-IT" w:eastAsia="en-US" w:bidi="ar-SA"/>
      </w:rPr>
    </w:lvl>
    <w:lvl w:ilvl="4" w:tplc="F5742CD4">
      <w:numFmt w:val="bullet"/>
      <w:lvlText w:val="•"/>
      <w:lvlJc w:val="left"/>
      <w:pPr>
        <w:ind w:left="4430" w:hanging="360"/>
      </w:pPr>
      <w:rPr>
        <w:rFonts w:hint="default"/>
        <w:lang w:val="it-IT" w:eastAsia="en-US" w:bidi="ar-SA"/>
      </w:rPr>
    </w:lvl>
    <w:lvl w:ilvl="5" w:tplc="27960B28">
      <w:numFmt w:val="bullet"/>
      <w:lvlText w:val="•"/>
      <w:lvlJc w:val="left"/>
      <w:pPr>
        <w:ind w:left="5333" w:hanging="360"/>
      </w:pPr>
      <w:rPr>
        <w:rFonts w:hint="default"/>
        <w:lang w:val="it-IT" w:eastAsia="en-US" w:bidi="ar-SA"/>
      </w:rPr>
    </w:lvl>
    <w:lvl w:ilvl="6" w:tplc="57885E4C">
      <w:numFmt w:val="bullet"/>
      <w:lvlText w:val="•"/>
      <w:lvlJc w:val="left"/>
      <w:pPr>
        <w:ind w:left="6235" w:hanging="360"/>
      </w:pPr>
      <w:rPr>
        <w:rFonts w:hint="default"/>
        <w:lang w:val="it-IT" w:eastAsia="en-US" w:bidi="ar-SA"/>
      </w:rPr>
    </w:lvl>
    <w:lvl w:ilvl="7" w:tplc="E0A479B6">
      <w:numFmt w:val="bullet"/>
      <w:lvlText w:val="•"/>
      <w:lvlJc w:val="left"/>
      <w:pPr>
        <w:ind w:left="7138" w:hanging="360"/>
      </w:pPr>
      <w:rPr>
        <w:rFonts w:hint="default"/>
        <w:lang w:val="it-IT" w:eastAsia="en-US" w:bidi="ar-SA"/>
      </w:rPr>
    </w:lvl>
    <w:lvl w:ilvl="8" w:tplc="D082B44E">
      <w:numFmt w:val="bullet"/>
      <w:lvlText w:val="•"/>
      <w:lvlJc w:val="left"/>
      <w:pPr>
        <w:ind w:left="8040" w:hanging="360"/>
      </w:pPr>
      <w:rPr>
        <w:rFonts w:hint="default"/>
        <w:lang w:val="it-IT" w:eastAsia="en-US" w:bidi="ar-SA"/>
      </w:rPr>
    </w:lvl>
  </w:abstractNum>
  <w:abstractNum w:abstractNumId="2" w15:restartNumberingAfterBreak="0">
    <w:nsid w:val="750222C6"/>
    <w:multiLevelType w:val="hybridMultilevel"/>
    <w:tmpl w:val="64929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8A9"/>
    <w:rsid w:val="00005D02"/>
    <w:rsid w:val="00035E66"/>
    <w:rsid w:val="000F644F"/>
    <w:rsid w:val="00145246"/>
    <w:rsid w:val="00160930"/>
    <w:rsid w:val="00181252"/>
    <w:rsid w:val="001C4E0E"/>
    <w:rsid w:val="00384BB1"/>
    <w:rsid w:val="003E15AA"/>
    <w:rsid w:val="004E3C35"/>
    <w:rsid w:val="006805D2"/>
    <w:rsid w:val="0072455A"/>
    <w:rsid w:val="008A2F66"/>
    <w:rsid w:val="00B11667"/>
    <w:rsid w:val="00B41B00"/>
    <w:rsid w:val="00B47880"/>
    <w:rsid w:val="00BE774E"/>
    <w:rsid w:val="00D563B9"/>
    <w:rsid w:val="00E45FB2"/>
    <w:rsid w:val="00EF08A9"/>
    <w:rsid w:val="00F22C44"/>
    <w:rsid w:val="00F72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7C7A1"/>
  <w15:docId w15:val="{D3EA197B-8C39-48D6-A7CD-46960346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uiPriority w:val="1"/>
    <w:qFormat/>
    <w:pPr>
      <w:spacing w:before="8"/>
    </w:pPr>
    <w:rPr>
      <w:rFonts w:ascii="Calibri" w:eastAsia="Calibri" w:hAnsi="Calibri" w:cs="Calibri"/>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ECVContactDetails">
    <w:name w:val="_ECV_ContactDetails"/>
    <w:rsid w:val="008A2F66"/>
    <w:rPr>
      <w:rFonts w:ascii="Arial" w:hAnsi="Arial"/>
      <w:color w:val="3F3A38"/>
      <w:sz w:val="18"/>
      <w:szCs w:val="18"/>
      <w:shd w:val="clear" w:color="auto" w:fill="auto"/>
    </w:rPr>
  </w:style>
  <w:style w:type="paragraph" w:customStyle="1" w:styleId="ECVBusinessSectorRow">
    <w:name w:val="_ECV_BusinessSectorRow"/>
    <w:basedOn w:val="Normale"/>
    <w:rsid w:val="008A2F66"/>
    <w:pPr>
      <w:suppressAutoHyphens/>
      <w:autoSpaceDE/>
      <w:autoSpaceDN/>
    </w:pPr>
    <w:rPr>
      <w:rFonts w:ascii="Arial" w:eastAsia="SimSun" w:hAnsi="Arial" w:cs="Mangal"/>
      <w:color w:val="3F3A38"/>
      <w:spacing w:val="-6"/>
      <w:kern w:val="1"/>
      <w:sz w:val="16"/>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3703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Raffaella Fontana</cp:lastModifiedBy>
  <cp:revision>2</cp:revision>
  <dcterms:created xsi:type="dcterms:W3CDTF">2020-11-04T16:50:00Z</dcterms:created>
  <dcterms:modified xsi:type="dcterms:W3CDTF">2020-11-04T16:50:00Z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2016-01-18T00:00:00Z</vt:filetime>
  </property>
  <property fmtid="{D5CDD505-2E9C-101B-9397-08002B2CF9AE}" pid="3" name="Creator">
    <vt:lpwstr>Microsoft® Word 2010</vt:lpwstr>
  </property>
  <property fmtid="{D5CDD505-2E9C-101B-9397-08002B2CF9AE}" pid="4" name="LastSaved">
    <vt:filetime>2020-10-13T00:00:00Z</vt:filetime>
  </property>
</Properties>
</file>