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BA162A" w14:paraId="2B657EFF" w14:textId="77777777" w:rsidTr="00FB0CDB">
        <w:trPr>
          <w:trHeight w:val="563"/>
        </w:trPr>
        <w:tc>
          <w:tcPr>
            <w:tcW w:w="9856" w:type="dxa"/>
            <w:vAlign w:val="center"/>
          </w:tcPr>
          <w:p w14:paraId="139DE4F6" w14:textId="77777777" w:rsidR="00BA162A" w:rsidRDefault="00815F9D" w:rsidP="00FB0CDB">
            <w:pPr>
              <w:pStyle w:val="TableParagraph"/>
              <w:spacing w:line="273" w:lineRule="exact"/>
              <w:ind w:left="2358" w:right="2352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BA162A" w14:paraId="127D069C" w14:textId="77777777" w:rsidTr="00FB0CDB">
        <w:trPr>
          <w:trHeight w:val="275"/>
        </w:trPr>
        <w:tc>
          <w:tcPr>
            <w:tcW w:w="9856" w:type="dxa"/>
            <w:vAlign w:val="center"/>
          </w:tcPr>
          <w:p w14:paraId="6FC5CE02" w14:textId="77777777" w:rsidR="00BA162A" w:rsidRDefault="00815F9D" w:rsidP="00FB0CDB">
            <w:pPr>
              <w:pStyle w:val="TableParagraph"/>
              <w:spacing w:line="256" w:lineRule="exact"/>
              <w:ind w:left="2358" w:right="2348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CNR-INO</w:t>
            </w:r>
          </w:p>
        </w:tc>
      </w:tr>
      <w:tr w:rsidR="00BA162A" w14:paraId="2C42203A" w14:textId="77777777" w:rsidTr="00FB0CDB">
        <w:trPr>
          <w:trHeight w:val="1379"/>
        </w:trPr>
        <w:tc>
          <w:tcPr>
            <w:tcW w:w="9856" w:type="dxa"/>
            <w:vAlign w:val="center"/>
          </w:tcPr>
          <w:p w14:paraId="1E7B34F2" w14:textId="77777777" w:rsidR="00BA162A" w:rsidRDefault="00815F9D" w:rsidP="00FB0C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14:paraId="77AAD77E" w14:textId="77777777" w:rsidR="00BA162A" w:rsidRDefault="00BA162A" w:rsidP="00FB0CD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019E3B9" w14:textId="77777777" w:rsidR="00BA162A" w:rsidRDefault="00815F9D" w:rsidP="00FB0C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Scanner multispettrale VIS-NIR</w:t>
            </w:r>
          </w:p>
        </w:tc>
      </w:tr>
      <w:tr w:rsidR="00BA162A" w14:paraId="4F731992" w14:textId="77777777" w:rsidTr="00FB0CDB">
        <w:trPr>
          <w:trHeight w:val="4683"/>
        </w:trPr>
        <w:tc>
          <w:tcPr>
            <w:tcW w:w="9856" w:type="dxa"/>
            <w:vAlign w:val="center"/>
          </w:tcPr>
          <w:p w14:paraId="137A9BCE" w14:textId="77777777" w:rsidR="00BA162A" w:rsidRDefault="00815F9D" w:rsidP="006757FF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14:paraId="61B7F3E4" w14:textId="77777777" w:rsidR="00BA162A" w:rsidRDefault="00BA162A" w:rsidP="006757FF">
            <w:pPr>
              <w:pStyle w:val="TableParagraph"/>
              <w:spacing w:before="7"/>
              <w:ind w:left="0"/>
              <w:jc w:val="both"/>
              <w:rPr>
                <w:sz w:val="23"/>
              </w:rPr>
            </w:pPr>
          </w:p>
          <w:p w14:paraId="3E6EDD39" w14:textId="38CD8C16" w:rsidR="00411AA6" w:rsidRDefault="001B136A" w:rsidP="006757F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riflettografia</w:t>
            </w:r>
            <w:proofErr w:type="spellEnd"/>
            <w:r>
              <w:rPr>
                <w:sz w:val="24"/>
              </w:rPr>
              <w:t xml:space="preserve"> multispettrale</w:t>
            </w:r>
            <w:r w:rsidR="006A2FF9">
              <w:rPr>
                <w:sz w:val="24"/>
              </w:rPr>
              <w:t>,</w:t>
            </w:r>
            <w:r w:rsidRPr="001B136A">
              <w:rPr>
                <w:sz w:val="24"/>
              </w:rPr>
              <w:t xml:space="preserve"> </w:t>
            </w:r>
            <w:r w:rsidR="006A2FF9">
              <w:rPr>
                <w:sz w:val="24"/>
              </w:rPr>
              <w:t xml:space="preserve">fornendo una </w:t>
            </w:r>
            <w:r w:rsidR="00411AA6" w:rsidRPr="00411AA6">
              <w:rPr>
                <w:sz w:val="24"/>
              </w:rPr>
              <w:t xml:space="preserve">caratterizzazione spettrofotometrica punto per punto di superfici </w:t>
            </w:r>
            <w:r w:rsidR="005E7738">
              <w:rPr>
                <w:sz w:val="24"/>
              </w:rPr>
              <w:t>dipinte</w:t>
            </w:r>
            <w:r w:rsidR="006A2FF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rappresenta uno strumento diagnostico estremamente utile per </w:t>
            </w:r>
            <w:r w:rsidRPr="001B136A">
              <w:rPr>
                <w:sz w:val="24"/>
              </w:rPr>
              <w:t xml:space="preserve">lo studio delle opere d'arte. </w:t>
            </w:r>
            <w:r w:rsidRPr="00411AA6">
              <w:rPr>
                <w:sz w:val="24"/>
              </w:rPr>
              <w:t>Realizzata originariamente in un’unica banda spettrale nella regione del</w:t>
            </w:r>
            <w:r w:rsidR="00411AA6">
              <w:rPr>
                <w:sz w:val="24"/>
              </w:rPr>
              <w:t xml:space="preserve"> vicino </w:t>
            </w:r>
            <w:r w:rsidRPr="00411AA6">
              <w:rPr>
                <w:sz w:val="24"/>
              </w:rPr>
              <w:t>infrarosso</w:t>
            </w:r>
            <w:r w:rsidR="00411AA6">
              <w:rPr>
                <w:sz w:val="24"/>
              </w:rPr>
              <w:t xml:space="preserve"> (NIR)</w:t>
            </w:r>
            <w:r w:rsidRPr="00411AA6">
              <w:rPr>
                <w:sz w:val="24"/>
              </w:rPr>
              <w:t>, negli ultimi decenni è stata implementata con l’acquisizione in più bande spettrali strette</w:t>
            </w:r>
            <w:r w:rsidR="00F87B37" w:rsidRPr="00411AA6">
              <w:rPr>
                <w:sz w:val="24"/>
              </w:rPr>
              <w:t xml:space="preserve">, </w:t>
            </w:r>
            <w:r w:rsidR="00B213E7" w:rsidRPr="00411AA6">
              <w:rPr>
                <w:sz w:val="24"/>
              </w:rPr>
              <w:t>che consentono di rivelare</w:t>
            </w:r>
            <w:r w:rsidRPr="00411AA6">
              <w:rPr>
                <w:sz w:val="24"/>
              </w:rPr>
              <w:t xml:space="preserve"> dettagli altrimenti non visibili </w:t>
            </w:r>
            <w:r w:rsidR="00B213E7" w:rsidRPr="00411AA6">
              <w:rPr>
                <w:sz w:val="24"/>
              </w:rPr>
              <w:t>e di ricavare così</w:t>
            </w:r>
            <w:r w:rsidRPr="00411AA6">
              <w:rPr>
                <w:sz w:val="24"/>
              </w:rPr>
              <w:t xml:space="preserve"> preziose informazioni sulle fasi di realizzazione dell’opera. </w:t>
            </w:r>
            <w:r>
              <w:rPr>
                <w:sz w:val="24"/>
              </w:rPr>
              <w:t>L’analisi</w:t>
            </w:r>
            <w:r w:rsidR="00963BE1">
              <w:rPr>
                <w:sz w:val="24"/>
              </w:rPr>
              <w:t xml:space="preserve"> multispettrale nel visibile</w:t>
            </w:r>
            <w:r w:rsidR="00411AA6">
              <w:rPr>
                <w:sz w:val="24"/>
              </w:rPr>
              <w:t xml:space="preserve"> (VIS)</w:t>
            </w:r>
            <w:r w:rsidR="00963BE1">
              <w:rPr>
                <w:sz w:val="24"/>
              </w:rPr>
              <w:t>, basata sul calcolo colorimetrico,</w:t>
            </w:r>
            <w:r w:rsidR="006A2FF9">
              <w:rPr>
                <w:sz w:val="24"/>
              </w:rPr>
              <w:t xml:space="preserve"> </w:t>
            </w:r>
            <w:r w:rsidR="008A7D12">
              <w:rPr>
                <w:sz w:val="24"/>
              </w:rPr>
              <w:t>permette</w:t>
            </w:r>
            <w:r>
              <w:rPr>
                <w:sz w:val="24"/>
              </w:rPr>
              <w:t xml:space="preserve"> di</w:t>
            </w:r>
            <w:r w:rsidR="006A2FF9">
              <w:rPr>
                <w:sz w:val="24"/>
              </w:rPr>
              <w:t xml:space="preserve"> monitorare nel tempo</w:t>
            </w:r>
            <w:r>
              <w:rPr>
                <w:sz w:val="24"/>
              </w:rPr>
              <w:t xml:space="preserve"> </w:t>
            </w:r>
            <w:r w:rsidR="006A2FF9">
              <w:rPr>
                <w:sz w:val="24"/>
              </w:rPr>
              <w:t>le variazioni</w:t>
            </w:r>
            <w:r w:rsidR="006A2FF9" w:rsidRPr="001B136A">
              <w:rPr>
                <w:sz w:val="24"/>
              </w:rPr>
              <w:t xml:space="preserve"> di colore</w:t>
            </w:r>
            <w:r w:rsidR="006A2FF9">
              <w:rPr>
                <w:sz w:val="24"/>
              </w:rPr>
              <w:t xml:space="preserve"> del film pittorico</w:t>
            </w:r>
            <w:r w:rsidR="006A2FF9" w:rsidRPr="001B136A">
              <w:rPr>
                <w:sz w:val="24"/>
              </w:rPr>
              <w:t>,</w:t>
            </w:r>
            <w:r w:rsidR="006A2FF9">
              <w:rPr>
                <w:sz w:val="24"/>
              </w:rPr>
              <w:t xml:space="preserve"> </w:t>
            </w:r>
            <w:r w:rsidR="00B213E7">
              <w:rPr>
                <w:sz w:val="24"/>
              </w:rPr>
              <w:t>fornendo un valido supporto in caso di</w:t>
            </w:r>
            <w:r w:rsidR="006A2FF9">
              <w:rPr>
                <w:sz w:val="24"/>
              </w:rPr>
              <w:t xml:space="preserve"> interventi di pulitura e in generale di conservazione. </w:t>
            </w:r>
            <w:r w:rsidR="006A2FF9" w:rsidRPr="001B136A">
              <w:rPr>
                <w:sz w:val="24"/>
              </w:rPr>
              <w:t>L</w:t>
            </w:r>
            <w:r w:rsidR="006A2FF9">
              <w:rPr>
                <w:sz w:val="24"/>
              </w:rPr>
              <w:t>’analisi nel vicino infrarosso</w:t>
            </w:r>
            <w:r w:rsidR="006A2FF9" w:rsidRPr="001B136A">
              <w:rPr>
                <w:sz w:val="24"/>
              </w:rPr>
              <w:t>, grazie alla trasparenza della maggior parte dei pigmenti in qu</w:t>
            </w:r>
            <w:r w:rsidR="006A2FF9">
              <w:rPr>
                <w:sz w:val="24"/>
              </w:rPr>
              <w:t xml:space="preserve">esta regione spettrale, </w:t>
            </w:r>
            <w:r w:rsidR="008A7D12">
              <w:rPr>
                <w:sz w:val="24"/>
              </w:rPr>
              <w:t>rende possibile la visualizzazione di</w:t>
            </w:r>
            <w:r w:rsidR="00F87B37">
              <w:rPr>
                <w:sz w:val="24"/>
              </w:rPr>
              <w:t xml:space="preserve"> dettagli</w:t>
            </w:r>
            <w:r w:rsidR="006A2FF9" w:rsidRPr="001B136A">
              <w:rPr>
                <w:sz w:val="24"/>
              </w:rPr>
              <w:t xml:space="preserve"> al di sotto della superficie dipinta, come </w:t>
            </w:r>
            <w:r w:rsidR="006A2FF9">
              <w:rPr>
                <w:sz w:val="24"/>
              </w:rPr>
              <w:t>disegni preparatori</w:t>
            </w:r>
            <w:r w:rsidR="006A2FF9" w:rsidRPr="001B136A">
              <w:rPr>
                <w:sz w:val="24"/>
              </w:rPr>
              <w:t>, pentimenti e ritocchi.</w:t>
            </w:r>
            <w:r w:rsidR="006A2FF9">
              <w:rPr>
                <w:sz w:val="24"/>
              </w:rPr>
              <w:t xml:space="preserve"> </w:t>
            </w:r>
          </w:p>
          <w:p w14:paraId="007102D0" w14:textId="404B31C8" w:rsidR="00411AA6" w:rsidRPr="00411AA6" w:rsidRDefault="00411AA6" w:rsidP="006757FF">
            <w:pPr>
              <w:pStyle w:val="TableParagraph"/>
              <w:ind w:right="96"/>
              <w:jc w:val="both"/>
              <w:rPr>
                <w:sz w:val="24"/>
              </w:rPr>
            </w:pPr>
            <w:r w:rsidRPr="00411AA6">
              <w:rPr>
                <w:sz w:val="24"/>
              </w:rPr>
              <w:t xml:space="preserve">Lo Scanner Multispettrale è rivoluzionario nel campo della </w:t>
            </w:r>
            <w:proofErr w:type="spellStart"/>
            <w:r w:rsidRPr="00411AA6">
              <w:rPr>
                <w:sz w:val="24"/>
              </w:rPr>
              <w:t>riflettografia</w:t>
            </w:r>
            <w:proofErr w:type="spellEnd"/>
            <w:r w:rsidRPr="00411AA6">
              <w:rPr>
                <w:sz w:val="24"/>
              </w:rPr>
              <w:t xml:space="preserve"> VIS-NIR, in quanto fornisce un set di immagini ad alta risoluzione, acquisite simultaneamente a diverse lunghezze d'onda in una vasta regione spettrale, che va da 395 a 2500 nm</w:t>
            </w:r>
            <w:r>
              <w:rPr>
                <w:sz w:val="24"/>
              </w:rPr>
              <w:t xml:space="preserve">. Le immagini prodotte sono </w:t>
            </w:r>
            <w:r w:rsidRPr="00411AA6">
              <w:rPr>
                <w:sz w:val="24"/>
              </w:rPr>
              <w:t>auto-registrate e prive di aberrazioni</w:t>
            </w:r>
            <w:r>
              <w:rPr>
                <w:sz w:val="24"/>
              </w:rPr>
              <w:t xml:space="preserve">, </w:t>
            </w:r>
            <w:r w:rsidR="006757FF">
              <w:rPr>
                <w:sz w:val="24"/>
              </w:rPr>
              <w:t>facilitandone l’elaborazione in modo congiunto (differenza, falso colore, analisi multivariata, …).</w:t>
            </w:r>
          </w:p>
          <w:p w14:paraId="69146BA9" w14:textId="0A858DF4" w:rsidR="00BA162A" w:rsidRDefault="00BA162A" w:rsidP="006757FF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BA162A" w14:paraId="38535888" w14:textId="77777777" w:rsidTr="00FB0CDB">
        <w:trPr>
          <w:trHeight w:val="5520"/>
        </w:trPr>
        <w:tc>
          <w:tcPr>
            <w:tcW w:w="9856" w:type="dxa"/>
            <w:vAlign w:val="center"/>
          </w:tcPr>
          <w:p w14:paraId="0DA8D474" w14:textId="77777777" w:rsidR="00BA162A" w:rsidRDefault="00BA162A" w:rsidP="00FB0CD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0EB1486" w14:textId="77777777" w:rsidR="00BA162A" w:rsidRDefault="00815F9D" w:rsidP="00FB0C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757F1CDD" w14:textId="77777777" w:rsidR="00BA162A" w:rsidRDefault="00BA162A" w:rsidP="00FB0CD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8684887" w14:textId="5850B36E" w:rsidR="00963BE1" w:rsidRDefault="00963BE1" w:rsidP="001D5FF1">
            <w:pPr>
              <w:pStyle w:val="TableParagraph"/>
              <w:ind w:right="104"/>
              <w:jc w:val="both"/>
              <w:rPr>
                <w:sz w:val="24"/>
              </w:rPr>
            </w:pPr>
            <w:r w:rsidRPr="00963BE1">
              <w:rPr>
                <w:sz w:val="24"/>
              </w:rPr>
              <w:t>Lo scanner multispettrale sviluppato al CNR-INO è caratterizzato da 32 canali spettrali, 16 nel visibile (395 - 765 nm</w:t>
            </w:r>
            <w:r w:rsidR="001D5FF1">
              <w:rPr>
                <w:sz w:val="24"/>
              </w:rPr>
              <w:t>, risoluzione spettrale 20-30 nm</w:t>
            </w:r>
            <w:r w:rsidRPr="00963BE1">
              <w:rPr>
                <w:sz w:val="24"/>
              </w:rPr>
              <w:t>) e 16 nel vicino infrarosso (750 - 2500 nm</w:t>
            </w:r>
            <w:r w:rsidR="001D5FF1">
              <w:rPr>
                <w:sz w:val="24"/>
              </w:rPr>
              <w:t>, risoluzione spettrale 50-100 nm</w:t>
            </w:r>
            <w:r w:rsidRPr="00963BE1">
              <w:rPr>
                <w:sz w:val="24"/>
              </w:rPr>
              <w:t xml:space="preserve">). Il </w:t>
            </w:r>
            <w:r w:rsidR="00676006">
              <w:rPr>
                <w:sz w:val="24"/>
              </w:rPr>
              <w:t>dispositivo</w:t>
            </w:r>
            <w:r w:rsidRPr="00963BE1">
              <w:rPr>
                <w:sz w:val="24"/>
              </w:rPr>
              <w:t xml:space="preserve"> è progettato per garantire condizioni di misura sicure, evitando qualsiasi danno all'oggetto analizzato. </w:t>
            </w:r>
            <w:r w:rsidR="00676006">
              <w:rPr>
                <w:sz w:val="24"/>
              </w:rPr>
              <w:t>Il sistema</w:t>
            </w:r>
            <w:r w:rsidRPr="00963BE1">
              <w:rPr>
                <w:sz w:val="24"/>
              </w:rPr>
              <w:t xml:space="preserve"> di scansione XY muov</w:t>
            </w:r>
            <w:r w:rsidR="00676006">
              <w:rPr>
                <w:sz w:val="24"/>
              </w:rPr>
              <w:t>e</w:t>
            </w:r>
            <w:r w:rsidRPr="00963BE1">
              <w:rPr>
                <w:sz w:val="24"/>
              </w:rPr>
              <w:t xml:space="preserve"> congiuntamente </w:t>
            </w:r>
            <w:r w:rsidR="00676006">
              <w:rPr>
                <w:sz w:val="24"/>
              </w:rPr>
              <w:t xml:space="preserve">il </w:t>
            </w:r>
            <w:r w:rsidR="00676006" w:rsidRPr="00963BE1">
              <w:rPr>
                <w:sz w:val="24"/>
              </w:rPr>
              <w:t>sistem</w:t>
            </w:r>
            <w:r w:rsidR="00676006">
              <w:rPr>
                <w:sz w:val="24"/>
              </w:rPr>
              <w:t>a</w:t>
            </w:r>
            <w:r w:rsidR="00676006" w:rsidRPr="00963BE1">
              <w:rPr>
                <w:sz w:val="24"/>
              </w:rPr>
              <w:t xml:space="preserve"> </w:t>
            </w:r>
            <w:r w:rsidR="00676006">
              <w:rPr>
                <w:sz w:val="24"/>
              </w:rPr>
              <w:t xml:space="preserve">di </w:t>
            </w:r>
            <w:r w:rsidRPr="00963BE1">
              <w:rPr>
                <w:sz w:val="24"/>
              </w:rPr>
              <w:t xml:space="preserve">illuminazione e </w:t>
            </w:r>
            <w:r w:rsidR="00676006">
              <w:rPr>
                <w:sz w:val="24"/>
              </w:rPr>
              <w:t xml:space="preserve">l’ottica </w:t>
            </w:r>
            <w:r w:rsidRPr="00963BE1">
              <w:rPr>
                <w:sz w:val="24"/>
              </w:rPr>
              <w:t xml:space="preserve">di raccolta, </w:t>
            </w:r>
            <w:r>
              <w:rPr>
                <w:sz w:val="24"/>
              </w:rPr>
              <w:t>evitando così</w:t>
            </w:r>
            <w:r w:rsidRPr="00963BE1">
              <w:rPr>
                <w:sz w:val="24"/>
              </w:rPr>
              <w:t xml:space="preserve"> l'esposizione </w:t>
            </w:r>
            <w:r>
              <w:rPr>
                <w:sz w:val="24"/>
              </w:rPr>
              <w:t xml:space="preserve">prolungata del dipinto </w:t>
            </w:r>
            <w:r w:rsidRPr="00963BE1">
              <w:rPr>
                <w:sz w:val="24"/>
              </w:rPr>
              <w:t>alla luce</w:t>
            </w:r>
            <w:r w:rsidR="00676006">
              <w:rPr>
                <w:sz w:val="24"/>
              </w:rPr>
              <w:t>, ed i</w:t>
            </w:r>
            <w:r>
              <w:rPr>
                <w:sz w:val="24"/>
              </w:rPr>
              <w:t xml:space="preserve">l </w:t>
            </w:r>
            <w:r w:rsidR="00676006">
              <w:rPr>
                <w:sz w:val="24"/>
              </w:rPr>
              <w:t>dispositivo</w:t>
            </w:r>
            <w:r w:rsidRPr="00963BE1">
              <w:rPr>
                <w:sz w:val="24"/>
              </w:rPr>
              <w:t xml:space="preserve"> di autofocus</w:t>
            </w:r>
            <w:r w:rsidR="00676006">
              <w:rPr>
                <w:sz w:val="24"/>
              </w:rPr>
              <w:t>,</w:t>
            </w:r>
            <w:r w:rsidRPr="00963BE1">
              <w:rPr>
                <w:sz w:val="24"/>
              </w:rPr>
              <w:t xml:space="preserve"> </w:t>
            </w:r>
            <w:r w:rsidR="00676006">
              <w:rPr>
                <w:sz w:val="24"/>
              </w:rPr>
              <w:t>un distanziometro laser posizionato sull’</w:t>
            </w:r>
            <w:r w:rsidRPr="00963BE1">
              <w:rPr>
                <w:sz w:val="24"/>
              </w:rPr>
              <w:t>asse Z, mantiene la distanza di lavoro a circa 12 cm durante l'intera scansione. Il movimento</w:t>
            </w:r>
            <w:r w:rsidR="00676006">
              <w:rPr>
                <w:sz w:val="24"/>
              </w:rPr>
              <w:t>,</w:t>
            </w:r>
            <w:r w:rsidRPr="00963BE1">
              <w:rPr>
                <w:sz w:val="24"/>
              </w:rPr>
              <w:t xml:space="preserve"> </w:t>
            </w:r>
            <w:r w:rsidR="00676006">
              <w:rPr>
                <w:i/>
                <w:sz w:val="24"/>
              </w:rPr>
              <w:t>di tipo bustrofedico,</w:t>
            </w:r>
            <w:r w:rsidRPr="00963BE1">
              <w:rPr>
                <w:sz w:val="24"/>
              </w:rPr>
              <w:t xml:space="preserve"> consente di </w:t>
            </w:r>
            <w:r w:rsidR="00F87B37">
              <w:rPr>
                <w:sz w:val="24"/>
              </w:rPr>
              <w:t>misurare</w:t>
            </w:r>
            <w:r w:rsidRPr="00963BE1">
              <w:rPr>
                <w:sz w:val="24"/>
              </w:rPr>
              <w:t xml:space="preserve"> aree fino a 1 m</w:t>
            </w:r>
            <w:r w:rsidRPr="00F87B37">
              <w:rPr>
                <w:sz w:val="24"/>
                <w:vertAlign w:val="superscript"/>
              </w:rPr>
              <w:t>2</w:t>
            </w:r>
            <w:r w:rsidRPr="00963BE1">
              <w:rPr>
                <w:sz w:val="24"/>
              </w:rPr>
              <w:t xml:space="preserve"> in circa 3 ore, con un</w:t>
            </w:r>
            <w:r w:rsidR="00676006">
              <w:rPr>
                <w:sz w:val="24"/>
              </w:rPr>
              <w:t xml:space="preserve"> passo di</w:t>
            </w:r>
            <w:r w:rsidRPr="00963BE1">
              <w:rPr>
                <w:sz w:val="24"/>
              </w:rPr>
              <w:t xml:space="preserve"> campioname</w:t>
            </w:r>
            <w:r w:rsidR="00F87B37">
              <w:rPr>
                <w:sz w:val="24"/>
              </w:rPr>
              <w:t xml:space="preserve">nto spaziale di 250 </w:t>
            </w:r>
            <w:proofErr w:type="spellStart"/>
            <w:r w:rsidR="00F87B37">
              <w:rPr>
                <w:sz w:val="24"/>
              </w:rPr>
              <w:t>μm</w:t>
            </w:r>
            <w:proofErr w:type="spellEnd"/>
            <w:r w:rsidR="00F87B37">
              <w:rPr>
                <w:sz w:val="24"/>
              </w:rPr>
              <w:t xml:space="preserve"> (4 punti/</w:t>
            </w:r>
            <w:r w:rsidRPr="00963BE1">
              <w:rPr>
                <w:sz w:val="24"/>
              </w:rPr>
              <w:t xml:space="preserve">mm) e fattore di ingrandimento unitario. </w:t>
            </w:r>
            <w:r w:rsidR="00676006">
              <w:rPr>
                <w:sz w:val="24"/>
              </w:rPr>
              <w:t>Ogni</w:t>
            </w:r>
            <w:r w:rsidRPr="00963BE1">
              <w:rPr>
                <w:sz w:val="24"/>
              </w:rPr>
              <w:t xml:space="preserve"> acquisizione viene </w:t>
            </w:r>
            <w:r w:rsidR="00676006">
              <w:rPr>
                <w:sz w:val="24"/>
              </w:rPr>
              <w:t>calibrata</w:t>
            </w:r>
            <w:r w:rsidRPr="00963BE1">
              <w:rPr>
                <w:sz w:val="24"/>
              </w:rPr>
              <w:t xml:space="preserve"> </w:t>
            </w:r>
            <w:r w:rsidR="00676006">
              <w:rPr>
                <w:sz w:val="24"/>
              </w:rPr>
              <w:t>misurando la radiazione riflessa da</w:t>
            </w:r>
            <w:r w:rsidRPr="00963BE1">
              <w:rPr>
                <w:sz w:val="24"/>
              </w:rPr>
              <w:t xml:space="preserve"> riferimenti standard certificati. </w:t>
            </w:r>
            <w:r w:rsidR="00676006">
              <w:rPr>
                <w:sz w:val="24"/>
              </w:rPr>
              <w:t>Il set di immagini</w:t>
            </w:r>
            <w:r w:rsidRPr="00963BE1">
              <w:rPr>
                <w:sz w:val="24"/>
              </w:rPr>
              <w:t xml:space="preserve"> risultante è completamente esente da aberrazioni cromatiche e ottiche, grazie ad un sistema catottrico che focalizza la radiazione retro</w:t>
            </w:r>
            <w:r w:rsidR="00A04759">
              <w:rPr>
                <w:sz w:val="24"/>
              </w:rPr>
              <w:t>-</w:t>
            </w:r>
            <w:r w:rsidRPr="00963BE1">
              <w:rPr>
                <w:sz w:val="24"/>
              </w:rPr>
              <w:t xml:space="preserve">diffusa su un fascio di 36 fibre ottiche. Il sistema è gestito </w:t>
            </w:r>
            <w:r w:rsidR="00F87B37">
              <w:rPr>
                <w:sz w:val="24"/>
              </w:rPr>
              <w:t>via</w:t>
            </w:r>
            <w:r w:rsidRPr="00963BE1">
              <w:rPr>
                <w:sz w:val="24"/>
              </w:rPr>
              <w:t xml:space="preserve"> computer da un software personalizzato che controlla simultaneamente il movimento degli assi, l'autofocus e l'acquisizione delle immagin</w:t>
            </w:r>
            <w:r w:rsidR="00F87B37">
              <w:rPr>
                <w:sz w:val="24"/>
              </w:rPr>
              <w:t xml:space="preserve">i. Lo strumento, che </w:t>
            </w:r>
            <w:r w:rsidR="001D5FF1">
              <w:rPr>
                <w:sz w:val="24"/>
              </w:rPr>
              <w:t>occupa</w:t>
            </w:r>
            <w:r w:rsidR="00F87B37" w:rsidRPr="00963BE1">
              <w:rPr>
                <w:sz w:val="24"/>
              </w:rPr>
              <w:t xml:space="preserve"> un volume di </w:t>
            </w:r>
            <w:r w:rsidR="001D5FF1">
              <w:rPr>
                <w:sz w:val="24"/>
              </w:rPr>
              <w:t xml:space="preserve">circa </w:t>
            </w:r>
            <w:r w:rsidR="00F87B37" w:rsidRPr="00963BE1">
              <w:rPr>
                <w:sz w:val="24"/>
              </w:rPr>
              <w:t>1,5 m</w:t>
            </w:r>
            <w:r w:rsidR="00F87B37" w:rsidRPr="00F87B37">
              <w:rPr>
                <w:sz w:val="24"/>
                <w:vertAlign w:val="superscript"/>
              </w:rPr>
              <w:t>3</w:t>
            </w:r>
            <w:r w:rsidR="00F87B37">
              <w:rPr>
                <w:sz w:val="24"/>
              </w:rPr>
              <w:t>, è smontabile e trasportabile per misure in situ</w:t>
            </w:r>
            <w:r w:rsidRPr="00963BE1">
              <w:rPr>
                <w:sz w:val="24"/>
              </w:rPr>
              <w:t>.</w:t>
            </w:r>
          </w:p>
          <w:p w14:paraId="70D13DA3" w14:textId="77777777" w:rsidR="00963BE1" w:rsidRDefault="00963BE1" w:rsidP="00FB0CDB">
            <w:pPr>
              <w:pStyle w:val="TableParagraph"/>
              <w:ind w:right="104"/>
              <w:rPr>
                <w:sz w:val="24"/>
              </w:rPr>
            </w:pPr>
          </w:p>
          <w:p w14:paraId="279C7579" w14:textId="705DC804" w:rsidR="00BA162A" w:rsidRDefault="00BA162A" w:rsidP="00FB0CDB">
            <w:pPr>
              <w:pStyle w:val="TableParagraph"/>
              <w:ind w:right="98"/>
              <w:rPr>
                <w:sz w:val="24"/>
              </w:rPr>
            </w:pPr>
          </w:p>
        </w:tc>
      </w:tr>
    </w:tbl>
    <w:p w14:paraId="70782E5F" w14:textId="77777777" w:rsidR="00BA162A" w:rsidRDefault="00BA162A">
      <w:pPr>
        <w:jc w:val="both"/>
        <w:rPr>
          <w:sz w:val="24"/>
        </w:rPr>
        <w:sectPr w:rsidR="00BA162A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BA162A" w14:paraId="376CFD9D" w14:textId="77777777">
        <w:trPr>
          <w:trHeight w:val="5907"/>
        </w:trPr>
        <w:tc>
          <w:tcPr>
            <w:tcW w:w="9856" w:type="dxa"/>
          </w:tcPr>
          <w:p w14:paraId="4D97F1F7" w14:textId="692BD1B3" w:rsidR="00BA162A" w:rsidRDefault="00752328">
            <w:pPr>
              <w:pStyle w:val="TableParagraph"/>
              <w:spacing w:before="5"/>
              <w:ind w:left="0"/>
              <w:rPr>
                <w:sz w:val="1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E7B5D5E" wp14:editId="3A09F1D8">
                  <wp:simplePos x="0" y="0"/>
                  <wp:positionH relativeFrom="column">
                    <wp:posOffset>84861</wp:posOffset>
                  </wp:positionH>
                  <wp:positionV relativeFrom="paragraph">
                    <wp:posOffset>77191</wp:posOffset>
                  </wp:positionV>
                  <wp:extent cx="2426067" cy="3234756"/>
                  <wp:effectExtent l="0" t="0" r="0" b="381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643" cy="324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4631B4" w14:textId="33D70E6E" w:rsidR="00752328" w:rsidRDefault="00815F9D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  <w:r>
              <w:rPr>
                <w:spacing w:val="7"/>
                <w:sz w:val="20"/>
              </w:rPr>
              <w:t xml:space="preserve"> </w:t>
            </w:r>
          </w:p>
          <w:p w14:paraId="5DAF098D" w14:textId="29F0EE6E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02910269" w14:textId="62900E94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3A480CF7" w14:textId="5CFE0810" w:rsidR="00752328" w:rsidRDefault="007A4DCE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  <w:r>
              <w:rPr>
                <w:noProof/>
                <w:spacing w:val="7"/>
                <w:sz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0C6ECB8" wp14:editId="39770A01">
                  <wp:simplePos x="0" y="0"/>
                  <wp:positionH relativeFrom="column">
                    <wp:posOffset>2595498</wp:posOffset>
                  </wp:positionH>
                  <wp:positionV relativeFrom="paragraph">
                    <wp:posOffset>88548</wp:posOffset>
                  </wp:positionV>
                  <wp:extent cx="3567746" cy="2693919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13" b="1543"/>
                          <a:stretch/>
                        </pic:blipFill>
                        <pic:spPr bwMode="auto">
                          <a:xfrm>
                            <a:off x="0" y="0"/>
                            <a:ext cx="3576308" cy="270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0815DD" w14:textId="72E0F0DD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235FA770" w14:textId="7B17D973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52684A00" w14:textId="6A103F95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3DE2CC2D" w14:textId="4DFF6C8C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1605E063" w14:textId="7F895B50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4DC18B15" w14:textId="6C3D66B1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748E9C93" w14:textId="07F2C73E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5973E56B" w14:textId="5EAAB01A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67B1C2B9" w14:textId="77777777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674ECA27" w14:textId="19927733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395B9332" w14:textId="77777777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46A989A6" w14:textId="77777777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6E5F57B4" w14:textId="77777777" w:rsidR="00752328" w:rsidRDefault="00752328">
            <w:pPr>
              <w:pStyle w:val="TableParagraph"/>
              <w:ind w:left="109"/>
              <w:rPr>
                <w:noProof/>
                <w:spacing w:val="7"/>
                <w:sz w:val="20"/>
                <w:lang w:eastAsia="it-IT"/>
              </w:rPr>
            </w:pPr>
          </w:p>
          <w:p w14:paraId="592A6985" w14:textId="71128403" w:rsidR="00BA162A" w:rsidRDefault="00752328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</w:rPr>
              <w:t xml:space="preserve"> </w:t>
            </w:r>
          </w:p>
          <w:p w14:paraId="4B1EF685" w14:textId="77777777" w:rsidR="00BA162A" w:rsidRDefault="00BA162A">
            <w:pPr>
              <w:pStyle w:val="TableParagraph"/>
              <w:ind w:left="0"/>
              <w:rPr>
                <w:sz w:val="23"/>
              </w:rPr>
            </w:pPr>
          </w:p>
          <w:p w14:paraId="660F6D32" w14:textId="77777777" w:rsidR="00752328" w:rsidRDefault="00752328">
            <w:pPr>
              <w:pStyle w:val="TableParagraph"/>
              <w:rPr>
                <w:sz w:val="24"/>
              </w:rPr>
            </w:pPr>
          </w:p>
          <w:p w14:paraId="533B3550" w14:textId="77777777" w:rsidR="00752328" w:rsidRDefault="00752328">
            <w:pPr>
              <w:pStyle w:val="TableParagraph"/>
              <w:rPr>
                <w:sz w:val="24"/>
              </w:rPr>
            </w:pPr>
          </w:p>
          <w:p w14:paraId="3F9C3350" w14:textId="77777777" w:rsidR="00752328" w:rsidRDefault="00752328">
            <w:pPr>
              <w:pStyle w:val="TableParagraph"/>
              <w:rPr>
                <w:sz w:val="24"/>
              </w:rPr>
            </w:pPr>
          </w:p>
          <w:p w14:paraId="7DE43909" w14:textId="3A8525A6" w:rsidR="00BA162A" w:rsidRDefault="00815F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Scanner multispettrale VIS-NIR</w:t>
            </w:r>
            <w:r w:rsidR="007A4DCE">
              <w:rPr>
                <w:sz w:val="24"/>
              </w:rPr>
              <w:t>:</w:t>
            </w:r>
            <w:r w:rsidR="00752328">
              <w:rPr>
                <w:sz w:val="24"/>
              </w:rPr>
              <w:t xml:space="preserve"> </w:t>
            </w:r>
            <w:r w:rsidR="007A4DCE">
              <w:rPr>
                <w:sz w:val="24"/>
              </w:rPr>
              <w:t>s</w:t>
            </w:r>
            <w:r w:rsidR="00752328">
              <w:rPr>
                <w:sz w:val="24"/>
              </w:rPr>
              <w:t>trumento</w:t>
            </w:r>
            <w:r>
              <w:rPr>
                <w:sz w:val="24"/>
              </w:rPr>
              <w:t xml:space="preserve"> durante </w:t>
            </w:r>
            <w:r w:rsidR="00752328">
              <w:rPr>
                <w:sz w:val="24"/>
              </w:rPr>
              <w:t>la campagna MOLAB presso il V&amp;A Museum – Londra e dettaglio della testa ottica</w:t>
            </w:r>
            <w:r>
              <w:rPr>
                <w:sz w:val="24"/>
              </w:rPr>
              <w:t>.</w:t>
            </w:r>
          </w:p>
        </w:tc>
      </w:tr>
      <w:tr w:rsidR="00BA162A" w:rsidRPr="008A7D12" w14:paraId="357DE7AE" w14:textId="77777777">
        <w:trPr>
          <w:trHeight w:val="3669"/>
        </w:trPr>
        <w:tc>
          <w:tcPr>
            <w:tcW w:w="9856" w:type="dxa"/>
          </w:tcPr>
          <w:p w14:paraId="6B4A46E0" w14:textId="4E0C58A0" w:rsidR="00BA162A" w:rsidRDefault="00BA162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B8DED39" w14:textId="77777777" w:rsidR="00BA162A" w:rsidRDefault="00815F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MAGGIORI INFORMAZIONI:</w:t>
            </w:r>
          </w:p>
          <w:p w14:paraId="310F5A49" w14:textId="5921E8CC" w:rsidR="00266FAD" w:rsidRDefault="00266FA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 w:rsidRPr="00266FAD">
              <w:rPr>
                <w:sz w:val="24"/>
              </w:rPr>
              <w:t xml:space="preserve">A. Dal </w:t>
            </w:r>
            <w:proofErr w:type="spellStart"/>
            <w:r w:rsidRPr="00266FAD">
              <w:rPr>
                <w:sz w:val="24"/>
              </w:rPr>
              <w:t>Fovo</w:t>
            </w:r>
            <w:proofErr w:type="spellEnd"/>
            <w:r w:rsidRPr="00266FAD">
              <w:rPr>
                <w:sz w:val="24"/>
              </w:rPr>
              <w:t xml:space="preserve">, J. </w:t>
            </w:r>
            <w:proofErr w:type="spellStart"/>
            <w:r w:rsidRPr="00266FAD">
              <w:rPr>
                <w:sz w:val="24"/>
              </w:rPr>
              <w:t>Striova</w:t>
            </w:r>
            <w:proofErr w:type="spellEnd"/>
            <w:r w:rsidRPr="00266FAD">
              <w:rPr>
                <w:sz w:val="24"/>
              </w:rPr>
              <w:t xml:space="preserve">, E. Pampaloni, A. Fedele, M.M. </w:t>
            </w:r>
            <w:proofErr w:type="spellStart"/>
            <w:r w:rsidRPr="00266FAD">
              <w:rPr>
                <w:sz w:val="24"/>
              </w:rPr>
              <w:t>Morita</w:t>
            </w:r>
            <w:proofErr w:type="spellEnd"/>
            <w:r w:rsidRPr="00266FAD">
              <w:rPr>
                <w:sz w:val="24"/>
              </w:rPr>
              <w:t xml:space="preserve">, D. Amaya, F. </w:t>
            </w:r>
            <w:proofErr w:type="spellStart"/>
            <w:r w:rsidRPr="00266FAD">
              <w:rPr>
                <w:sz w:val="24"/>
              </w:rPr>
              <w:t>Grazzi</w:t>
            </w:r>
            <w:proofErr w:type="spellEnd"/>
            <w:r w:rsidRPr="00266FAD">
              <w:rPr>
                <w:sz w:val="24"/>
              </w:rPr>
              <w:t xml:space="preserve">, M. Cimò, C. Cirrincione, R. Fontana, “Rubens' painting </w:t>
            </w:r>
            <w:proofErr w:type="spellStart"/>
            <w:r w:rsidRPr="00266FAD">
              <w:rPr>
                <w:sz w:val="24"/>
              </w:rPr>
              <w:t>as</w:t>
            </w:r>
            <w:proofErr w:type="spellEnd"/>
            <w:r w:rsidRPr="00266FAD">
              <w:rPr>
                <w:sz w:val="24"/>
              </w:rPr>
              <w:t xml:space="preserve"> </w:t>
            </w:r>
            <w:proofErr w:type="spellStart"/>
            <w:r w:rsidRPr="00266FAD">
              <w:rPr>
                <w:sz w:val="24"/>
              </w:rPr>
              <w:t>inspiration</w:t>
            </w:r>
            <w:proofErr w:type="spellEnd"/>
            <w:r w:rsidRPr="00266FAD">
              <w:rPr>
                <w:sz w:val="24"/>
              </w:rPr>
              <w:t xml:space="preserve"> of a </w:t>
            </w:r>
            <w:proofErr w:type="spellStart"/>
            <w:r w:rsidRPr="00266FAD">
              <w:rPr>
                <w:sz w:val="24"/>
              </w:rPr>
              <w:t>later</w:t>
            </w:r>
            <w:proofErr w:type="spellEnd"/>
            <w:r w:rsidRPr="00266FAD">
              <w:rPr>
                <w:sz w:val="24"/>
              </w:rPr>
              <w:t xml:space="preserve"> </w:t>
            </w:r>
            <w:proofErr w:type="spellStart"/>
            <w:r w:rsidRPr="00266FAD">
              <w:rPr>
                <w:sz w:val="24"/>
              </w:rPr>
              <w:t>tapestry</w:t>
            </w:r>
            <w:proofErr w:type="spellEnd"/>
            <w:r w:rsidRPr="00266FAD">
              <w:rPr>
                <w:sz w:val="24"/>
              </w:rPr>
              <w:t xml:space="preserve">: non-invasive </w:t>
            </w:r>
            <w:proofErr w:type="spellStart"/>
            <w:r w:rsidRPr="00266FAD">
              <w:rPr>
                <w:sz w:val="24"/>
              </w:rPr>
              <w:t>analyses</w:t>
            </w:r>
            <w:proofErr w:type="spellEnd"/>
            <w:r w:rsidRPr="00266FAD">
              <w:rPr>
                <w:sz w:val="24"/>
              </w:rPr>
              <w:t xml:space="preserve"> </w:t>
            </w:r>
            <w:proofErr w:type="spellStart"/>
            <w:r w:rsidRPr="00266FAD">
              <w:rPr>
                <w:sz w:val="24"/>
              </w:rPr>
              <w:t>provide</w:t>
            </w:r>
            <w:proofErr w:type="spellEnd"/>
            <w:r w:rsidRPr="00266FAD">
              <w:rPr>
                <w:sz w:val="24"/>
              </w:rPr>
              <w:t xml:space="preserve"> insight </w:t>
            </w:r>
            <w:proofErr w:type="spellStart"/>
            <w:r w:rsidRPr="00266FAD">
              <w:rPr>
                <w:sz w:val="24"/>
              </w:rPr>
              <w:t>into</w:t>
            </w:r>
            <w:proofErr w:type="spellEnd"/>
            <w:r w:rsidRPr="00266FAD">
              <w:rPr>
                <w:sz w:val="24"/>
              </w:rPr>
              <w:t xml:space="preserve"> artworks’ history”, </w:t>
            </w:r>
            <w:proofErr w:type="spellStart"/>
            <w:r w:rsidRPr="00266FAD">
              <w:rPr>
                <w:sz w:val="24"/>
              </w:rPr>
              <w:t>Microchemical</w:t>
            </w:r>
            <w:proofErr w:type="spellEnd"/>
            <w:r w:rsidRPr="00266FAD">
              <w:rPr>
                <w:sz w:val="24"/>
              </w:rPr>
              <w:t xml:space="preserve"> Journal, </w:t>
            </w:r>
            <w:proofErr w:type="spellStart"/>
            <w:r w:rsidRPr="00266FAD">
              <w:rPr>
                <w:sz w:val="24"/>
              </w:rPr>
              <w:t>Microchemical</w:t>
            </w:r>
            <w:proofErr w:type="spellEnd"/>
            <w:r w:rsidRPr="00266FAD">
              <w:rPr>
                <w:sz w:val="24"/>
              </w:rPr>
              <w:t xml:space="preserve"> Journal, 153, 104472 (2020)</w:t>
            </w:r>
          </w:p>
          <w:p w14:paraId="04ECB873" w14:textId="3B3C542A" w:rsidR="00266FAD" w:rsidRDefault="00266FA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 w:rsidRPr="00266FAD">
              <w:rPr>
                <w:sz w:val="24"/>
              </w:rPr>
              <w:t xml:space="preserve">A. Dal </w:t>
            </w:r>
            <w:proofErr w:type="spellStart"/>
            <w:r w:rsidRPr="00266FAD">
              <w:rPr>
                <w:sz w:val="24"/>
              </w:rPr>
              <w:t>Fovo</w:t>
            </w:r>
            <w:proofErr w:type="spellEnd"/>
            <w:r w:rsidRPr="00266FAD">
              <w:rPr>
                <w:sz w:val="24"/>
              </w:rPr>
              <w:t xml:space="preserve">, A. Mazzinghi, S. Omarini, E. Pampaloni, J. </w:t>
            </w:r>
            <w:proofErr w:type="spellStart"/>
            <w:r w:rsidRPr="00266FAD">
              <w:rPr>
                <w:sz w:val="24"/>
              </w:rPr>
              <w:t>Striova</w:t>
            </w:r>
            <w:proofErr w:type="spellEnd"/>
            <w:r w:rsidRPr="00266FAD">
              <w:rPr>
                <w:sz w:val="24"/>
              </w:rPr>
              <w:t xml:space="preserve">, R. Fontana, “Non-invasive mapping </w:t>
            </w:r>
            <w:proofErr w:type="spellStart"/>
            <w:r w:rsidRPr="00266FAD">
              <w:rPr>
                <w:sz w:val="24"/>
              </w:rPr>
              <w:t>methods</w:t>
            </w:r>
            <w:proofErr w:type="spellEnd"/>
            <w:r w:rsidRPr="00266FAD">
              <w:rPr>
                <w:sz w:val="24"/>
              </w:rPr>
              <w:t xml:space="preserve"> for </w:t>
            </w:r>
            <w:proofErr w:type="spellStart"/>
            <w:r w:rsidRPr="00266FAD">
              <w:rPr>
                <w:sz w:val="24"/>
              </w:rPr>
              <w:t>pigments</w:t>
            </w:r>
            <w:proofErr w:type="spellEnd"/>
            <w:r w:rsidRPr="00266FAD">
              <w:rPr>
                <w:sz w:val="24"/>
              </w:rPr>
              <w:t xml:space="preserve"> </w:t>
            </w:r>
            <w:proofErr w:type="spellStart"/>
            <w:r w:rsidRPr="00266FAD">
              <w:rPr>
                <w:sz w:val="24"/>
              </w:rPr>
              <w:t>analysis</w:t>
            </w:r>
            <w:proofErr w:type="spellEnd"/>
            <w:r w:rsidRPr="00266FAD">
              <w:rPr>
                <w:sz w:val="24"/>
              </w:rPr>
              <w:t xml:space="preserve"> of Roman </w:t>
            </w:r>
            <w:proofErr w:type="spellStart"/>
            <w:r w:rsidRPr="00266FAD">
              <w:rPr>
                <w:sz w:val="24"/>
              </w:rPr>
              <w:t>mural</w:t>
            </w:r>
            <w:proofErr w:type="spellEnd"/>
            <w:r w:rsidRPr="00266FAD">
              <w:rPr>
                <w:sz w:val="24"/>
              </w:rPr>
              <w:t xml:space="preserve"> paintings”, Journal of Cultural Heritage 43 (2020) 311–318</w:t>
            </w:r>
          </w:p>
          <w:p w14:paraId="3B62F7F6" w14:textId="1D3C6585" w:rsidR="007A4DCE" w:rsidRDefault="007A4DC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 w:rsidRPr="007A4DCE">
              <w:rPr>
                <w:sz w:val="24"/>
              </w:rPr>
              <w:t xml:space="preserve">J. </w:t>
            </w:r>
            <w:proofErr w:type="spellStart"/>
            <w:r w:rsidRPr="007A4DCE">
              <w:rPr>
                <w:sz w:val="24"/>
              </w:rPr>
              <w:t>Striova</w:t>
            </w:r>
            <w:proofErr w:type="spellEnd"/>
            <w:r w:rsidRPr="007A4DCE">
              <w:rPr>
                <w:sz w:val="24"/>
              </w:rPr>
              <w:t xml:space="preserve">, C. Ruberto, M. Barucci, J. </w:t>
            </w:r>
            <w:proofErr w:type="spellStart"/>
            <w:r w:rsidRPr="007A4DCE">
              <w:rPr>
                <w:sz w:val="24"/>
              </w:rPr>
              <w:t>Blažek</w:t>
            </w:r>
            <w:proofErr w:type="spellEnd"/>
            <w:r w:rsidRPr="007A4DCE">
              <w:rPr>
                <w:sz w:val="24"/>
              </w:rPr>
              <w:t xml:space="preserve">, D. </w:t>
            </w:r>
            <w:proofErr w:type="spellStart"/>
            <w:r w:rsidRPr="007A4DCE">
              <w:rPr>
                <w:sz w:val="24"/>
              </w:rPr>
              <w:t>Kunzelman</w:t>
            </w:r>
            <w:proofErr w:type="spellEnd"/>
            <w:r w:rsidRPr="007A4DCE">
              <w:rPr>
                <w:sz w:val="24"/>
              </w:rPr>
              <w:t xml:space="preserve">, A. Dal </w:t>
            </w:r>
            <w:proofErr w:type="spellStart"/>
            <w:r w:rsidRPr="007A4DCE">
              <w:rPr>
                <w:sz w:val="24"/>
              </w:rPr>
              <w:t>Fovo</w:t>
            </w:r>
            <w:proofErr w:type="spellEnd"/>
            <w:r w:rsidRPr="007A4DCE">
              <w:rPr>
                <w:sz w:val="24"/>
              </w:rPr>
              <w:t>, E. Pampaloni, R. Fontana, “</w:t>
            </w:r>
            <w:proofErr w:type="spellStart"/>
            <w:r w:rsidRPr="007A4DCE">
              <w:rPr>
                <w:sz w:val="24"/>
              </w:rPr>
              <w:t>Spectral</w:t>
            </w:r>
            <w:proofErr w:type="spellEnd"/>
            <w:r w:rsidRPr="007A4DCE">
              <w:rPr>
                <w:sz w:val="24"/>
              </w:rPr>
              <w:t xml:space="preserve"> Imaging and </w:t>
            </w:r>
            <w:proofErr w:type="spellStart"/>
            <w:r w:rsidRPr="007A4DCE">
              <w:rPr>
                <w:sz w:val="24"/>
              </w:rPr>
              <w:t>Archival</w:t>
            </w:r>
            <w:proofErr w:type="spellEnd"/>
            <w:r w:rsidRPr="007A4DCE">
              <w:rPr>
                <w:sz w:val="24"/>
              </w:rPr>
              <w:t xml:space="preserve"> Data in </w:t>
            </w:r>
            <w:proofErr w:type="spellStart"/>
            <w:r w:rsidRPr="007A4DCE">
              <w:rPr>
                <w:sz w:val="24"/>
              </w:rPr>
              <w:t>Analysing</w:t>
            </w:r>
            <w:proofErr w:type="spellEnd"/>
            <w:r w:rsidRPr="007A4DCE">
              <w:rPr>
                <w:sz w:val="24"/>
              </w:rPr>
              <w:t xml:space="preserve"> Madonna of the </w:t>
            </w:r>
            <w:proofErr w:type="spellStart"/>
            <w:r w:rsidRPr="007A4DCE">
              <w:rPr>
                <w:sz w:val="24"/>
              </w:rPr>
              <w:t>Rabbit</w:t>
            </w:r>
            <w:proofErr w:type="spellEnd"/>
            <w:r w:rsidRPr="007A4DCE">
              <w:rPr>
                <w:sz w:val="24"/>
              </w:rPr>
              <w:t xml:space="preserve"> Paintings by Manet and </w:t>
            </w:r>
            <w:proofErr w:type="spellStart"/>
            <w:r w:rsidRPr="007A4DCE">
              <w:rPr>
                <w:sz w:val="24"/>
              </w:rPr>
              <w:t>Titian</w:t>
            </w:r>
            <w:proofErr w:type="spellEnd"/>
            <w:r w:rsidRPr="007A4DCE">
              <w:rPr>
                <w:sz w:val="24"/>
              </w:rPr>
              <w:t xml:space="preserve">”, </w:t>
            </w:r>
            <w:proofErr w:type="spellStart"/>
            <w:r w:rsidRPr="007A4DCE">
              <w:rPr>
                <w:sz w:val="24"/>
              </w:rPr>
              <w:t>Angew</w:t>
            </w:r>
            <w:proofErr w:type="spellEnd"/>
            <w:r w:rsidRPr="007A4DCE">
              <w:rPr>
                <w:sz w:val="24"/>
              </w:rPr>
              <w:t xml:space="preserve"> </w:t>
            </w:r>
            <w:proofErr w:type="spellStart"/>
            <w:r w:rsidRPr="007A4DCE">
              <w:rPr>
                <w:sz w:val="24"/>
              </w:rPr>
              <w:t>Chem</w:t>
            </w:r>
            <w:proofErr w:type="spellEnd"/>
            <w:r w:rsidRPr="007A4DCE">
              <w:rPr>
                <w:sz w:val="24"/>
              </w:rPr>
              <w:t xml:space="preserve"> Int Ed </w:t>
            </w:r>
            <w:proofErr w:type="spellStart"/>
            <w:r w:rsidRPr="007A4DCE">
              <w:rPr>
                <w:sz w:val="24"/>
              </w:rPr>
              <w:t>Engl</w:t>
            </w:r>
            <w:proofErr w:type="spellEnd"/>
            <w:r w:rsidRPr="007A4DCE">
              <w:rPr>
                <w:sz w:val="24"/>
              </w:rPr>
              <w:t xml:space="preserve">. 2018 </w:t>
            </w:r>
            <w:proofErr w:type="spellStart"/>
            <w:r w:rsidRPr="007A4DCE">
              <w:rPr>
                <w:sz w:val="24"/>
              </w:rPr>
              <w:t>Jun</w:t>
            </w:r>
            <w:proofErr w:type="spellEnd"/>
            <w:r w:rsidRPr="007A4DCE">
              <w:rPr>
                <w:sz w:val="24"/>
              </w:rPr>
              <w:t xml:space="preserve"> 18;57(25):7408-7412</w:t>
            </w:r>
          </w:p>
          <w:p w14:paraId="03BF4767" w14:textId="0B0D20C5" w:rsidR="007A4DCE" w:rsidRDefault="007A4DC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 w:rsidRPr="007A4DCE">
              <w:rPr>
                <w:sz w:val="24"/>
              </w:rPr>
              <w:t xml:space="preserve">J. </w:t>
            </w:r>
            <w:proofErr w:type="spellStart"/>
            <w:r w:rsidRPr="007A4DCE">
              <w:rPr>
                <w:sz w:val="24"/>
              </w:rPr>
              <w:t>Blažek</w:t>
            </w:r>
            <w:proofErr w:type="spellEnd"/>
            <w:r w:rsidRPr="007A4DCE">
              <w:rPr>
                <w:sz w:val="24"/>
              </w:rPr>
              <w:t xml:space="preserve">, J. </w:t>
            </w:r>
            <w:proofErr w:type="spellStart"/>
            <w:r w:rsidRPr="007A4DCE">
              <w:rPr>
                <w:sz w:val="24"/>
              </w:rPr>
              <w:t>Striova</w:t>
            </w:r>
            <w:proofErr w:type="spellEnd"/>
            <w:r w:rsidRPr="007A4DCE">
              <w:rPr>
                <w:sz w:val="24"/>
              </w:rPr>
              <w:t xml:space="preserve">, R. Fontana, B. </w:t>
            </w:r>
            <w:proofErr w:type="spellStart"/>
            <w:r w:rsidRPr="007A4DCE">
              <w:rPr>
                <w:sz w:val="24"/>
              </w:rPr>
              <w:t>Zitova</w:t>
            </w:r>
            <w:proofErr w:type="spellEnd"/>
            <w:r w:rsidRPr="007A4DCE">
              <w:rPr>
                <w:sz w:val="24"/>
              </w:rPr>
              <w:t>, “</w:t>
            </w:r>
            <w:proofErr w:type="spellStart"/>
            <w:r w:rsidRPr="007A4DCE">
              <w:rPr>
                <w:sz w:val="24"/>
              </w:rPr>
              <w:t>Improvement</w:t>
            </w:r>
            <w:proofErr w:type="spellEnd"/>
            <w:r w:rsidRPr="007A4DCE">
              <w:rPr>
                <w:sz w:val="24"/>
              </w:rPr>
              <w:t xml:space="preserve"> of the </w:t>
            </w:r>
            <w:proofErr w:type="spellStart"/>
            <w:r w:rsidRPr="007A4DCE">
              <w:rPr>
                <w:sz w:val="24"/>
              </w:rPr>
              <w:t>visibility</w:t>
            </w:r>
            <w:proofErr w:type="spellEnd"/>
            <w:r w:rsidRPr="007A4DCE">
              <w:rPr>
                <w:sz w:val="24"/>
              </w:rPr>
              <w:t xml:space="preserve"> of </w:t>
            </w:r>
            <w:proofErr w:type="spellStart"/>
            <w:r w:rsidRPr="007A4DCE">
              <w:rPr>
                <w:sz w:val="24"/>
              </w:rPr>
              <w:t>concealed</w:t>
            </w:r>
            <w:proofErr w:type="spellEnd"/>
            <w:r w:rsidRPr="007A4DCE">
              <w:rPr>
                <w:sz w:val="24"/>
              </w:rPr>
              <w:t xml:space="preserve"> features in artwork NIR </w:t>
            </w:r>
            <w:proofErr w:type="spellStart"/>
            <w:r w:rsidRPr="007A4DCE">
              <w:rPr>
                <w:sz w:val="24"/>
              </w:rPr>
              <w:t>reflectograms</w:t>
            </w:r>
            <w:proofErr w:type="spellEnd"/>
            <w:r w:rsidRPr="007A4DCE">
              <w:rPr>
                <w:sz w:val="24"/>
              </w:rPr>
              <w:t xml:space="preserve"> by information </w:t>
            </w:r>
            <w:proofErr w:type="spellStart"/>
            <w:r w:rsidRPr="007A4DCE">
              <w:rPr>
                <w:sz w:val="24"/>
              </w:rPr>
              <w:t>separation</w:t>
            </w:r>
            <w:proofErr w:type="spellEnd"/>
            <w:r w:rsidRPr="007A4DCE">
              <w:rPr>
                <w:sz w:val="24"/>
              </w:rPr>
              <w:t xml:space="preserve">”, Digital </w:t>
            </w:r>
            <w:proofErr w:type="spellStart"/>
            <w:r w:rsidRPr="007A4DCE">
              <w:rPr>
                <w:sz w:val="24"/>
              </w:rPr>
              <w:t>Signal</w:t>
            </w:r>
            <w:proofErr w:type="spellEnd"/>
            <w:r w:rsidRPr="007A4DCE">
              <w:rPr>
                <w:sz w:val="24"/>
              </w:rPr>
              <w:t xml:space="preserve"> Processing 60 (2017)</w:t>
            </w:r>
            <w:r>
              <w:rPr>
                <w:sz w:val="24"/>
              </w:rPr>
              <w:t xml:space="preserve"> </w:t>
            </w:r>
            <w:r w:rsidRPr="007A4DCE">
              <w:rPr>
                <w:sz w:val="24"/>
              </w:rPr>
              <w:t>140–151</w:t>
            </w:r>
          </w:p>
          <w:p w14:paraId="2ED26246" w14:textId="18882E3F" w:rsidR="00BA162A" w:rsidRDefault="00815F9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R. Fontana, A. Dal Fovo, J. </w:t>
            </w:r>
            <w:proofErr w:type="spellStart"/>
            <w:r>
              <w:rPr>
                <w:sz w:val="24"/>
              </w:rPr>
              <w:t>Striova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L. </w:t>
            </w:r>
            <w:r>
              <w:rPr>
                <w:sz w:val="24"/>
              </w:rPr>
              <w:t>Pezzati, E. Pampaloni, M. Raffaelli,</w:t>
            </w:r>
            <w:r w:rsidR="001B136A">
              <w:rPr>
                <w:sz w:val="24"/>
              </w:rPr>
              <w:t xml:space="preserve"> M. Barucci, Application of non </w:t>
            </w:r>
            <w:r>
              <w:rPr>
                <w:sz w:val="24"/>
              </w:rPr>
              <w:t xml:space="preserve">invasive optical monitoring </w:t>
            </w:r>
            <w:proofErr w:type="spellStart"/>
            <w:r>
              <w:rPr>
                <w:sz w:val="24"/>
              </w:rPr>
              <w:t>methodologies</w:t>
            </w:r>
            <w:proofErr w:type="spellEnd"/>
            <w:r>
              <w:rPr>
                <w:sz w:val="24"/>
              </w:rPr>
              <w:t xml:space="preserve"> to follow and record painting </w:t>
            </w:r>
            <w:proofErr w:type="spellStart"/>
            <w:r>
              <w:rPr>
                <w:sz w:val="24"/>
              </w:rPr>
              <w:t>cleaning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processes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Appl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Phys</w:t>
            </w:r>
            <w:proofErr w:type="spellEnd"/>
            <w:r>
              <w:rPr>
                <w:sz w:val="24"/>
              </w:rPr>
              <w:t>. A (2015) 121(3)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957-966</w:t>
            </w:r>
          </w:p>
          <w:p w14:paraId="5810E49B" w14:textId="77777777" w:rsidR="00BA162A" w:rsidRDefault="00815F9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Fontana R., Barucci M., Pampaloni E., </w:t>
            </w:r>
            <w:proofErr w:type="spellStart"/>
            <w:r>
              <w:rPr>
                <w:sz w:val="24"/>
              </w:rPr>
              <w:t>Striova</w:t>
            </w:r>
            <w:proofErr w:type="spellEnd"/>
            <w:r>
              <w:rPr>
                <w:sz w:val="24"/>
              </w:rPr>
              <w:t xml:space="preserve"> J., Pezzati L., From Leonardo to Raffaello: Insights by VIS-IR </w:t>
            </w:r>
            <w:proofErr w:type="spellStart"/>
            <w:r>
              <w:rPr>
                <w:sz w:val="24"/>
              </w:rPr>
              <w:t>reflectography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proceedings</w:t>
            </w:r>
            <w:proofErr w:type="spellEnd"/>
            <w:r>
              <w:rPr>
                <w:sz w:val="24"/>
              </w:rPr>
              <w:t xml:space="preserve"> of 5th ALMA </w:t>
            </w:r>
            <w:proofErr w:type="spellStart"/>
            <w:r>
              <w:rPr>
                <w:sz w:val="24"/>
              </w:rPr>
              <w:t>interdisciplinary</w:t>
            </w:r>
            <w:proofErr w:type="spellEnd"/>
            <w:r>
              <w:rPr>
                <w:sz w:val="24"/>
              </w:rPr>
              <w:t xml:space="preserve"> conference: </w:t>
            </w:r>
            <w:proofErr w:type="spellStart"/>
            <w:r>
              <w:rPr>
                <w:sz w:val="24"/>
              </w:rPr>
              <w:t>Interpretation</w:t>
            </w:r>
            <w:proofErr w:type="spellEnd"/>
            <w:r>
              <w:rPr>
                <w:sz w:val="24"/>
              </w:rPr>
              <w:t xml:space="preserve"> of fine </w:t>
            </w:r>
            <w:proofErr w:type="spellStart"/>
            <w:r>
              <w:rPr>
                <w:sz w:val="24"/>
              </w:rPr>
              <w:t>art’s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analyses</w:t>
            </w:r>
            <w:proofErr w:type="spellEnd"/>
            <w:r>
              <w:rPr>
                <w:sz w:val="24"/>
              </w:rPr>
              <w:t xml:space="preserve"> in diverse </w:t>
            </w:r>
            <w:proofErr w:type="spellStart"/>
            <w:r>
              <w:rPr>
                <w:sz w:val="24"/>
              </w:rPr>
              <w:t>contexts</w:t>
            </w:r>
            <w:proofErr w:type="spellEnd"/>
            <w:r>
              <w:rPr>
                <w:sz w:val="24"/>
              </w:rPr>
              <w:t>. 2014, pp.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15-26</w:t>
            </w:r>
          </w:p>
          <w:p w14:paraId="1B1EEB99" w14:textId="77777777" w:rsidR="00BA162A" w:rsidRPr="008A7D12" w:rsidRDefault="00815F9D" w:rsidP="001B13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37" w:lineRule="auto"/>
              <w:ind w:right="96"/>
              <w:jc w:val="both"/>
              <w:rPr>
                <w:sz w:val="24"/>
                <w:lang w:val="en-GB"/>
              </w:rPr>
            </w:pPr>
            <w:r w:rsidRPr="008A7D12">
              <w:rPr>
                <w:sz w:val="24"/>
                <w:lang w:val="en-GB"/>
              </w:rPr>
              <w:t xml:space="preserve">C. </w:t>
            </w:r>
            <w:proofErr w:type="spellStart"/>
            <w:r w:rsidRPr="008A7D12">
              <w:rPr>
                <w:sz w:val="24"/>
                <w:lang w:val="en-GB"/>
              </w:rPr>
              <w:t>Daffara</w:t>
            </w:r>
            <w:proofErr w:type="spellEnd"/>
            <w:r w:rsidRPr="008A7D12">
              <w:rPr>
                <w:sz w:val="24"/>
                <w:lang w:val="en-GB"/>
              </w:rPr>
              <w:t>, R. Fontana: Multispectral Infrared Reflectography to Differentiate Features in Paintings, Microscopy and Microanalysis, 17, 691–695, (2011)</w:t>
            </w:r>
          </w:p>
          <w:p w14:paraId="0C410588" w14:textId="77777777" w:rsidR="00BA162A" w:rsidRPr="00815F9D" w:rsidRDefault="00815F9D" w:rsidP="001B136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37" w:lineRule="auto"/>
              <w:ind w:right="96"/>
              <w:jc w:val="both"/>
              <w:rPr>
                <w:rFonts w:ascii="Book Antiqua" w:hAnsi="Book Antiqua"/>
                <w:lang w:val="en-GB"/>
              </w:rPr>
            </w:pPr>
            <w:r w:rsidRPr="008A7D12">
              <w:rPr>
                <w:sz w:val="24"/>
                <w:lang w:val="en-GB"/>
              </w:rPr>
              <w:t xml:space="preserve">C. </w:t>
            </w:r>
            <w:proofErr w:type="spellStart"/>
            <w:r w:rsidRPr="008A7D12">
              <w:rPr>
                <w:sz w:val="24"/>
                <w:lang w:val="en-GB"/>
              </w:rPr>
              <w:t>Daffara</w:t>
            </w:r>
            <w:proofErr w:type="spellEnd"/>
            <w:r w:rsidRPr="008A7D12">
              <w:rPr>
                <w:sz w:val="24"/>
                <w:lang w:val="en-GB"/>
              </w:rPr>
              <w:t xml:space="preserve">, E. </w:t>
            </w:r>
            <w:proofErr w:type="spellStart"/>
            <w:r w:rsidRPr="008A7D12">
              <w:rPr>
                <w:sz w:val="24"/>
                <w:lang w:val="en-GB"/>
              </w:rPr>
              <w:t>Pampaloni</w:t>
            </w:r>
            <w:proofErr w:type="spellEnd"/>
            <w:r w:rsidRPr="008A7D12">
              <w:rPr>
                <w:sz w:val="24"/>
                <w:lang w:val="en-GB"/>
              </w:rPr>
              <w:t xml:space="preserve">, L. </w:t>
            </w:r>
            <w:proofErr w:type="spellStart"/>
            <w:r w:rsidRPr="008A7D12">
              <w:rPr>
                <w:sz w:val="24"/>
                <w:lang w:val="en-GB"/>
              </w:rPr>
              <w:t>Pezzati</w:t>
            </w:r>
            <w:proofErr w:type="spellEnd"/>
            <w:r w:rsidRPr="008A7D12">
              <w:rPr>
                <w:sz w:val="24"/>
                <w:lang w:val="en-GB"/>
              </w:rPr>
              <w:t xml:space="preserve">, M. </w:t>
            </w:r>
            <w:proofErr w:type="spellStart"/>
            <w:r w:rsidRPr="008A7D12">
              <w:rPr>
                <w:sz w:val="24"/>
                <w:lang w:val="en-GB"/>
              </w:rPr>
              <w:t>Barucci</w:t>
            </w:r>
            <w:proofErr w:type="spellEnd"/>
            <w:r w:rsidRPr="008A7D12">
              <w:rPr>
                <w:sz w:val="24"/>
                <w:lang w:val="en-GB"/>
              </w:rPr>
              <w:t>, R. Fontana: Scanning Multispectral IR Reflectography SMIRR: An Advanced Tool for Art Diagnostics, Accounts of Chemical Research 43 (6), 847-856 (2010)</w:t>
            </w:r>
          </w:p>
        </w:tc>
      </w:tr>
    </w:tbl>
    <w:p w14:paraId="3A2DDDAC" w14:textId="77777777" w:rsidR="00BA162A" w:rsidRPr="00815F9D" w:rsidRDefault="00BA162A">
      <w:pPr>
        <w:spacing w:before="8"/>
        <w:rPr>
          <w:sz w:val="29"/>
          <w:lang w:val="en-GB"/>
        </w:rPr>
      </w:pPr>
    </w:p>
    <w:p w14:paraId="0C9DD2B3" w14:textId="77777777" w:rsidR="00BA162A" w:rsidRPr="00815F9D" w:rsidRDefault="00815F9D">
      <w:pPr>
        <w:pStyle w:val="Corpotesto"/>
        <w:spacing w:before="57"/>
        <w:ind w:left="212"/>
        <w:rPr>
          <w:rFonts w:ascii="Times New Roman" w:hAnsi="Times New Roman" w:cs="Times New Roman"/>
        </w:rPr>
      </w:pPr>
      <w:r w:rsidRPr="00815F9D">
        <w:rPr>
          <w:rFonts w:ascii="Times New Roman" w:hAnsi="Times New Roman" w:cs="Times New Roman"/>
        </w:rPr>
        <w:t>Referente: Raffaella Fontana (raffaella.fontana@ino.it)</w:t>
      </w:r>
    </w:p>
    <w:sectPr w:rsidR="00BA162A" w:rsidRPr="00815F9D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238FF"/>
    <w:multiLevelType w:val="hybridMultilevel"/>
    <w:tmpl w:val="7C64A420"/>
    <w:lvl w:ilvl="0" w:tplc="EA16E8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716CDFE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3648CAB8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A4D62724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DE58797E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4828BBB0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EE4A3114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512C9A2E">
      <w:numFmt w:val="bullet"/>
      <w:lvlText w:val="•"/>
      <w:lvlJc w:val="left"/>
      <w:pPr>
        <w:ind w:left="7138" w:hanging="360"/>
      </w:pPr>
      <w:rPr>
        <w:rFonts w:hint="default"/>
        <w:lang w:val="it-IT" w:eastAsia="en-US" w:bidi="ar-SA"/>
      </w:rPr>
    </w:lvl>
    <w:lvl w:ilvl="8" w:tplc="750E22E0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2A"/>
    <w:rsid w:val="001B136A"/>
    <w:rsid w:val="001D5FF1"/>
    <w:rsid w:val="00266FAD"/>
    <w:rsid w:val="00411AA6"/>
    <w:rsid w:val="005E7738"/>
    <w:rsid w:val="006757FF"/>
    <w:rsid w:val="00676006"/>
    <w:rsid w:val="006A2FF9"/>
    <w:rsid w:val="00716A33"/>
    <w:rsid w:val="00752328"/>
    <w:rsid w:val="007A4DCE"/>
    <w:rsid w:val="00815F9D"/>
    <w:rsid w:val="008A7D12"/>
    <w:rsid w:val="00963BE1"/>
    <w:rsid w:val="00A04759"/>
    <w:rsid w:val="00B213E7"/>
    <w:rsid w:val="00BA162A"/>
    <w:rsid w:val="00F87B37"/>
    <w:rsid w:val="00FB0CDB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667D"/>
  <w15:docId w15:val="{2561667D-F4DC-4A77-B309-D88B003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8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Raffaella Fontana</cp:lastModifiedBy>
  <cp:revision>8</cp:revision>
  <dcterms:created xsi:type="dcterms:W3CDTF">2020-10-26T11:02:00Z</dcterms:created>
  <dcterms:modified xsi:type="dcterms:W3CDTF">2020-10-26T13:28:00Z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