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6"/>
      </w:tblGrid>
      <w:tr w:rsidR="00E13736" w14:paraId="0D08105A" w14:textId="77777777" w:rsidTr="00F31078">
        <w:trPr>
          <w:trHeight w:val="563"/>
        </w:trPr>
        <w:tc>
          <w:tcPr>
            <w:tcW w:w="9856" w:type="dxa"/>
            <w:vAlign w:val="center"/>
          </w:tcPr>
          <w:p w14:paraId="6F1B7FF0" w14:textId="77777777" w:rsidR="00E13736" w:rsidRDefault="00E13736" w:rsidP="00F31078">
            <w:pPr>
              <w:pStyle w:val="TableParagraph"/>
              <w:spacing w:line="273" w:lineRule="exact"/>
              <w:ind w:left="2358" w:right="2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STRUMENTAZIONE MOLAB: DESCRIZIONE</w:t>
            </w:r>
          </w:p>
        </w:tc>
      </w:tr>
      <w:tr w:rsidR="00E13736" w14:paraId="78708BE8" w14:textId="77777777" w:rsidTr="00F31078">
        <w:trPr>
          <w:trHeight w:val="275"/>
        </w:trPr>
        <w:tc>
          <w:tcPr>
            <w:tcW w:w="9856" w:type="dxa"/>
          </w:tcPr>
          <w:p w14:paraId="09681169" w14:textId="77777777" w:rsidR="00E13736" w:rsidRDefault="00E13736" w:rsidP="00F31078">
            <w:pPr>
              <w:pStyle w:val="TableParagraph"/>
              <w:spacing w:line="256" w:lineRule="exact"/>
              <w:ind w:left="2358" w:right="2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LABORATORIO: CNR-ISPC</w:t>
            </w:r>
          </w:p>
        </w:tc>
      </w:tr>
      <w:tr w:rsidR="00E13736" w14:paraId="55F18003" w14:textId="77777777" w:rsidTr="00F31078">
        <w:trPr>
          <w:trHeight w:val="1379"/>
        </w:trPr>
        <w:tc>
          <w:tcPr>
            <w:tcW w:w="9856" w:type="dxa"/>
          </w:tcPr>
          <w:p w14:paraId="10B44E47" w14:textId="77777777" w:rsidR="00E13736" w:rsidRDefault="00E13736" w:rsidP="00F31078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702BAB2B" w14:textId="77777777" w:rsidR="00E13736" w:rsidRDefault="00E13736" w:rsidP="00F31078">
            <w:pPr>
              <w:pStyle w:val="TableParagraph"/>
              <w:rPr>
                <w:b/>
                <w:sz w:val="24"/>
              </w:rPr>
            </w:pPr>
            <w:r w:rsidRPr="007C3458">
              <w:rPr>
                <w:b/>
                <w:sz w:val="24"/>
              </w:rPr>
              <w:t>NOME STRUMENTO</w:t>
            </w:r>
          </w:p>
          <w:p w14:paraId="4D83709E" w14:textId="77777777" w:rsidR="007C3458" w:rsidRDefault="007C3458" w:rsidP="00F31078">
            <w:pPr>
              <w:pStyle w:val="TableParagraph"/>
              <w:rPr>
                <w:sz w:val="24"/>
              </w:rPr>
            </w:pPr>
          </w:p>
          <w:p w14:paraId="36D2F443" w14:textId="7CCEE023" w:rsidR="00E13736" w:rsidRDefault="007C3458" w:rsidP="007C3458">
            <w:pPr>
              <w:pStyle w:val="TableParagraph"/>
              <w:rPr>
                <w:sz w:val="24"/>
              </w:rPr>
            </w:pPr>
            <w:r w:rsidRPr="007C3458">
              <w:rPr>
                <w:sz w:val="24"/>
              </w:rPr>
              <w:t>Metodo della spugna di contatto</w:t>
            </w:r>
          </w:p>
        </w:tc>
      </w:tr>
      <w:tr w:rsidR="00E13736" w14:paraId="50486164" w14:textId="77777777" w:rsidTr="005C5746">
        <w:trPr>
          <w:trHeight w:val="2996"/>
        </w:trPr>
        <w:tc>
          <w:tcPr>
            <w:tcW w:w="9856" w:type="dxa"/>
          </w:tcPr>
          <w:p w14:paraId="2CC8CC7B" w14:textId="77777777" w:rsidR="00E13736" w:rsidRDefault="00E13736" w:rsidP="00F31078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2E5958E9" w14:textId="77777777" w:rsidR="00E13736" w:rsidRDefault="00E13736" w:rsidP="00F31078">
            <w:pPr>
              <w:pStyle w:val="TableParagraph"/>
              <w:spacing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INFORMAZIONI GENERALI:</w:t>
            </w:r>
          </w:p>
          <w:p w14:paraId="34B4AE66" w14:textId="77777777" w:rsidR="00E13736" w:rsidRDefault="00E13736" w:rsidP="00F31078">
            <w:pPr>
              <w:pStyle w:val="TableParagraph"/>
              <w:spacing w:line="274" w:lineRule="exact"/>
              <w:jc w:val="both"/>
              <w:rPr>
                <w:b/>
                <w:sz w:val="24"/>
              </w:rPr>
            </w:pPr>
          </w:p>
          <w:p w14:paraId="50B8059D" w14:textId="77777777" w:rsidR="005C5746" w:rsidRPr="005C5746" w:rsidRDefault="005C5746" w:rsidP="005C5746">
            <w:pPr>
              <w:pStyle w:val="TableParagraph"/>
              <w:ind w:right="100"/>
              <w:jc w:val="both"/>
              <w:rPr>
                <w:sz w:val="24"/>
              </w:rPr>
            </w:pPr>
            <w:r w:rsidRPr="005C5746">
              <w:rPr>
                <w:sz w:val="24"/>
              </w:rPr>
              <w:t xml:space="preserve">Il metodo della spugna di contatto, o della spugnetta, è un test di assorbimento di acqua da parte del materiale in esame che può essere effettuato anche in situ. </w:t>
            </w:r>
          </w:p>
          <w:p w14:paraId="6F19EA8F" w14:textId="56142190" w:rsidR="00E13736" w:rsidRDefault="005C5746" w:rsidP="005C5746">
            <w:pPr>
              <w:pStyle w:val="TableParagraph"/>
              <w:ind w:right="96"/>
              <w:jc w:val="both"/>
              <w:rPr>
                <w:sz w:val="24"/>
              </w:rPr>
            </w:pPr>
            <w:r w:rsidRPr="005C5746">
              <w:rPr>
                <w:sz w:val="24"/>
              </w:rPr>
              <w:t>Una spugna di tipo e dimensioni prestabilite viene caricata con una quantità d’acqua tale che, tenuta a contatto della superficie con pressione costante e per tempi brevi, non dia luogo a fenomeni di sgocciolamento. Per l’applicazione sulla superficie viene utilizzata una piastra circolare in plastica. La quantità di acqua assorbita dalla superficie viene calcolata per differenza, pesando la spugnetta prima e dopo l’applicazione, con una precisione che dipende da quella della bilancia utilizzata.</w:t>
            </w:r>
          </w:p>
        </w:tc>
      </w:tr>
      <w:tr w:rsidR="00E13736" w14:paraId="0252F360" w14:textId="77777777" w:rsidTr="005C5746">
        <w:trPr>
          <w:trHeight w:val="6228"/>
        </w:trPr>
        <w:tc>
          <w:tcPr>
            <w:tcW w:w="9856" w:type="dxa"/>
          </w:tcPr>
          <w:p w14:paraId="03CD1379" w14:textId="77777777" w:rsidR="00E13736" w:rsidRDefault="00E13736" w:rsidP="00F31078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6D70A9C6" w14:textId="77777777" w:rsidR="00E13736" w:rsidRDefault="00E13736" w:rsidP="00F31078">
            <w:pPr>
              <w:pStyle w:val="TableParagraph"/>
              <w:spacing w:line="274" w:lineRule="exact"/>
              <w:jc w:val="both"/>
              <w:rPr>
                <w:b/>
                <w:sz w:val="24"/>
              </w:rPr>
            </w:pPr>
            <w:bookmarkStart w:id="0" w:name="_GoBack"/>
            <w:bookmarkEnd w:id="0"/>
            <w:r w:rsidRPr="007C3458">
              <w:rPr>
                <w:b/>
                <w:sz w:val="24"/>
              </w:rPr>
              <w:t>DETTAGLI TECNICI:</w:t>
            </w:r>
          </w:p>
          <w:p w14:paraId="162E0033" w14:textId="46844C11" w:rsidR="00E13736" w:rsidRDefault="00E13736" w:rsidP="00F31078">
            <w:pPr>
              <w:pStyle w:val="TableParagraph"/>
              <w:spacing w:line="274" w:lineRule="exact"/>
              <w:jc w:val="both"/>
              <w:rPr>
                <w:b/>
                <w:sz w:val="24"/>
              </w:rPr>
            </w:pPr>
          </w:p>
          <w:p w14:paraId="32967A5E" w14:textId="72EB312B" w:rsidR="007C3458" w:rsidRPr="007C3458" w:rsidRDefault="007C3458" w:rsidP="007C3458">
            <w:pPr>
              <w:pStyle w:val="TableParagraph"/>
              <w:spacing w:line="274" w:lineRule="exact"/>
              <w:jc w:val="both"/>
              <w:rPr>
                <w:i/>
                <w:sz w:val="24"/>
              </w:rPr>
            </w:pPr>
            <w:r w:rsidRPr="007C3458">
              <w:rPr>
                <w:i/>
                <w:sz w:val="24"/>
              </w:rPr>
              <w:t>Strumentazi</w:t>
            </w:r>
            <w:r w:rsidRPr="007C3458">
              <w:rPr>
                <w:i/>
                <w:sz w:val="24"/>
              </w:rPr>
              <w:t>one:</w:t>
            </w:r>
          </w:p>
          <w:p w14:paraId="5C670CE1" w14:textId="43CA3F59" w:rsidR="007C3458" w:rsidRDefault="007C3458" w:rsidP="007C3458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 w:rsidRPr="007C3458">
              <w:rPr>
                <w:sz w:val="24"/>
              </w:rPr>
              <w:t xml:space="preserve">Kit per misura del test: spugne tipo Spontex1 tipo Calypso composte da fibre naturali, opportunamente tagliate mediante fustella di diametro 55 mm (superficie 23,76 cm2), piastre circolari di plastica 1034 </w:t>
            </w:r>
            <w:proofErr w:type="spellStart"/>
            <w:r w:rsidRPr="007C3458">
              <w:rPr>
                <w:sz w:val="24"/>
              </w:rPr>
              <w:t>Rodac</w:t>
            </w:r>
            <w:proofErr w:type="spellEnd"/>
            <w:r w:rsidRPr="007C3458">
              <w:rPr>
                <w:sz w:val="24"/>
              </w:rPr>
              <w:t xml:space="preserve"> </w:t>
            </w:r>
            <w:proofErr w:type="spellStart"/>
            <w:r w:rsidRPr="007C3458">
              <w:rPr>
                <w:sz w:val="24"/>
              </w:rPr>
              <w:t>Plate</w:t>
            </w:r>
            <w:proofErr w:type="spellEnd"/>
            <w:r w:rsidRPr="007C3458">
              <w:rPr>
                <w:sz w:val="24"/>
              </w:rPr>
              <w:t xml:space="preserve"> prodotte dalla ditta statunitense </w:t>
            </w:r>
            <w:proofErr w:type="spellStart"/>
            <w:r w:rsidRPr="007C3458">
              <w:rPr>
                <w:sz w:val="24"/>
              </w:rPr>
              <w:t>Falcon</w:t>
            </w:r>
            <w:proofErr w:type="spellEnd"/>
            <w:r w:rsidRPr="007C3458">
              <w:rPr>
                <w:sz w:val="24"/>
              </w:rPr>
              <w:t>, bilancia portatile (Sede di Firenze, Sezione di Milano).</w:t>
            </w:r>
          </w:p>
          <w:p w14:paraId="40ED1592" w14:textId="62614C84" w:rsidR="007C3458" w:rsidRDefault="007C3458" w:rsidP="007C3458">
            <w:pPr>
              <w:pStyle w:val="TableParagraph"/>
              <w:spacing w:line="274" w:lineRule="exact"/>
              <w:jc w:val="both"/>
              <w:rPr>
                <w:sz w:val="24"/>
              </w:rPr>
            </w:pPr>
          </w:p>
          <w:p w14:paraId="15B0C428" w14:textId="77777777" w:rsidR="007C3458" w:rsidRPr="007C3458" w:rsidRDefault="007C3458" w:rsidP="007C3458">
            <w:pPr>
              <w:pStyle w:val="TableParagraph"/>
              <w:spacing w:line="274" w:lineRule="exact"/>
              <w:jc w:val="both"/>
              <w:rPr>
                <w:i/>
                <w:sz w:val="24"/>
              </w:rPr>
            </w:pPr>
            <w:r w:rsidRPr="007C3458">
              <w:rPr>
                <w:i/>
                <w:sz w:val="24"/>
              </w:rPr>
              <w:t>Applicazioni:</w:t>
            </w:r>
            <w:r w:rsidRPr="007C3458">
              <w:rPr>
                <w:i/>
                <w:sz w:val="24"/>
              </w:rPr>
              <w:tab/>
            </w:r>
          </w:p>
          <w:p w14:paraId="49C152EC" w14:textId="6E4F5604" w:rsidR="007C3458" w:rsidRDefault="007C3458" w:rsidP="007C3458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 w:rsidRPr="007C3458">
              <w:rPr>
                <w:sz w:val="24"/>
              </w:rPr>
              <w:t>Il metodo della spugnetta, a differenza di altri metodi di misura dell’assorbimento di acqua, è facilmente applicabile in situ. Le misure di assorbimento di acqua sono molto utilizzate e di importanza fondamentale per valutare lo stato di conservazione di una superficie e l’efficacia</w:t>
            </w:r>
            <w:r>
              <w:rPr>
                <w:sz w:val="24"/>
              </w:rPr>
              <w:t xml:space="preserve"> e durabilità</w:t>
            </w:r>
            <w:r w:rsidRPr="007C3458">
              <w:rPr>
                <w:sz w:val="24"/>
              </w:rPr>
              <w:t xml:space="preserve"> di trattamenti conservativi, in particolare di tipo protettivo.</w:t>
            </w:r>
          </w:p>
          <w:p w14:paraId="7432956D" w14:textId="77777777" w:rsidR="007C3458" w:rsidRPr="007C3458" w:rsidRDefault="007C3458" w:rsidP="007C3458">
            <w:pPr>
              <w:pStyle w:val="TableParagraph"/>
              <w:spacing w:line="274" w:lineRule="exact"/>
              <w:jc w:val="both"/>
              <w:rPr>
                <w:sz w:val="24"/>
              </w:rPr>
            </w:pPr>
          </w:p>
          <w:p w14:paraId="6302B44E" w14:textId="28328EBF" w:rsidR="00E13736" w:rsidRDefault="005C5746" w:rsidP="00F31078">
            <w:pPr>
              <w:pStyle w:val="TableParagraph"/>
              <w:spacing w:before="6"/>
              <w:ind w:left="0"/>
              <w:jc w:val="center"/>
              <w:rPr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EE8333F" wp14:editId="6D02DDC9">
                  <wp:extent cx="2926715" cy="1799590"/>
                  <wp:effectExtent l="0" t="0" r="6985" b="0"/>
                  <wp:docPr id="12" name="Immagine 12" descr="http://www.icvbc.cnr.it/images/Spugna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magine 12" descr="http://www.icvbc.cnr.it/images/Spugna_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715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736">
              <w:rPr>
                <w:sz w:val="24"/>
              </w:rPr>
              <w:t xml:space="preserve">   </w:t>
            </w:r>
            <w:r>
              <w:rPr>
                <w:noProof/>
                <w:lang w:bidi="ar-SA"/>
              </w:rPr>
              <w:drawing>
                <wp:inline distT="0" distB="0" distL="0" distR="0" wp14:anchorId="369AF7C6" wp14:editId="72203E38">
                  <wp:extent cx="2398395" cy="1799590"/>
                  <wp:effectExtent l="0" t="0" r="1905" b="0"/>
                  <wp:docPr id="13" name="Immagine 13" descr="http://www.icvbc.cnr.it/images/Spugna_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magine 13" descr="http://www.icvbc.cnr.it/images/Spugna_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395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CBFE82" w14:textId="77777777" w:rsidR="00E13736" w:rsidRDefault="00E13736" w:rsidP="00F31078">
            <w:pPr>
              <w:pStyle w:val="TableParagraph"/>
              <w:ind w:right="35"/>
              <w:rPr>
                <w:sz w:val="24"/>
              </w:rPr>
            </w:pPr>
          </w:p>
          <w:p w14:paraId="7D9668C6" w14:textId="780FBF38" w:rsidR="00E13736" w:rsidRDefault="00E13736" w:rsidP="00F31078">
            <w:pPr>
              <w:pStyle w:val="TableParagraph"/>
              <w:ind w:right="35"/>
              <w:rPr>
                <w:sz w:val="24"/>
              </w:rPr>
            </w:pPr>
            <w:r w:rsidRPr="007C3458">
              <w:rPr>
                <w:sz w:val="24"/>
              </w:rPr>
              <w:t xml:space="preserve">Figura: </w:t>
            </w:r>
            <w:r w:rsidR="007C3458" w:rsidRPr="007C3458">
              <w:rPr>
                <w:sz w:val="24"/>
              </w:rPr>
              <w:t>(a)</w:t>
            </w:r>
            <w:r w:rsidR="007C3458" w:rsidRPr="007C3458">
              <w:rPr>
                <w:sz w:val="24"/>
              </w:rPr>
              <w:t xml:space="preserve"> kit di misura; (b) esempio di applicazione sul gruppo scultoreo del Ratto della Sabina, (Loggia dei Lanzi, P.zza della Signoria, Firenze)</w:t>
            </w:r>
          </w:p>
          <w:p w14:paraId="21EFA9D4" w14:textId="27799002" w:rsidR="007C3458" w:rsidRDefault="007C3458" w:rsidP="00F31078">
            <w:pPr>
              <w:pStyle w:val="TableParagraph"/>
              <w:ind w:right="35"/>
              <w:rPr>
                <w:sz w:val="24"/>
              </w:rPr>
            </w:pPr>
          </w:p>
        </w:tc>
      </w:tr>
      <w:tr w:rsidR="00E13736" w14:paraId="1AD9BE92" w14:textId="77777777" w:rsidTr="00F31078">
        <w:trPr>
          <w:trHeight w:val="1120"/>
        </w:trPr>
        <w:tc>
          <w:tcPr>
            <w:tcW w:w="9856" w:type="dxa"/>
          </w:tcPr>
          <w:p w14:paraId="434F56AF" w14:textId="77777777" w:rsidR="00E13736" w:rsidRDefault="00E13736" w:rsidP="00F31078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55BD42E1" w14:textId="77777777" w:rsidR="00E13736" w:rsidRDefault="00E13736" w:rsidP="00F3107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MAGGIORI INFORMAZIONI:</w:t>
            </w:r>
          </w:p>
          <w:p w14:paraId="58BB9145" w14:textId="77777777" w:rsidR="00E13736" w:rsidRDefault="00E13736" w:rsidP="00F31078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  <w:p w14:paraId="24E54B56" w14:textId="7AD7EC36" w:rsidR="005C5746" w:rsidRPr="007C3458" w:rsidRDefault="005C5746" w:rsidP="007C3458">
            <w:pPr>
              <w:pStyle w:val="TableParagraph"/>
              <w:numPr>
                <w:ilvl w:val="0"/>
                <w:numId w:val="1"/>
              </w:numPr>
              <w:spacing w:before="20" w:line="274" w:lineRule="exact"/>
              <w:ind w:left="589" w:right="98"/>
              <w:rPr>
                <w:sz w:val="20"/>
                <w:szCs w:val="20"/>
              </w:rPr>
            </w:pPr>
            <w:r w:rsidRPr="007C3458">
              <w:rPr>
                <w:sz w:val="20"/>
                <w:szCs w:val="20"/>
              </w:rPr>
              <w:t xml:space="preserve">Tiano P., Pardini C. Valutazione in situ dei trattamenti protettivi per il materiale lapideo. Proposta di. una nuova semplice metodologia. </w:t>
            </w:r>
            <w:proofErr w:type="spellStart"/>
            <w:r w:rsidRPr="007C3458">
              <w:rPr>
                <w:sz w:val="20"/>
                <w:szCs w:val="20"/>
              </w:rPr>
              <w:t>Arkos</w:t>
            </w:r>
            <w:proofErr w:type="spellEnd"/>
            <w:r w:rsidRPr="007C3458">
              <w:rPr>
                <w:sz w:val="20"/>
                <w:szCs w:val="20"/>
              </w:rPr>
              <w:t>, 5, 2004, 30-37.</w:t>
            </w:r>
          </w:p>
          <w:p w14:paraId="3B59B094" w14:textId="77777777" w:rsidR="00E13736" w:rsidRPr="007C3458" w:rsidRDefault="005C5746" w:rsidP="007C3458">
            <w:pPr>
              <w:pStyle w:val="TableParagraph"/>
              <w:numPr>
                <w:ilvl w:val="0"/>
                <w:numId w:val="1"/>
              </w:numPr>
              <w:spacing w:before="20" w:line="274" w:lineRule="exact"/>
              <w:ind w:left="589" w:right="98"/>
              <w:rPr>
                <w:sz w:val="20"/>
                <w:szCs w:val="20"/>
              </w:rPr>
            </w:pPr>
            <w:r w:rsidRPr="007C3458">
              <w:rPr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7C3458">
              <w:rPr>
                <w:sz w:val="20"/>
                <w:szCs w:val="20"/>
                <w:lang w:val="en-US"/>
              </w:rPr>
              <w:t>Vandevoordea</w:t>
            </w:r>
            <w:proofErr w:type="spellEnd"/>
            <w:r w:rsidRPr="007C3458">
              <w:rPr>
                <w:sz w:val="20"/>
                <w:szCs w:val="20"/>
                <w:lang w:val="en-US"/>
              </w:rPr>
              <w:t xml:space="preserve">, M. Pamplona, O. </w:t>
            </w:r>
            <w:proofErr w:type="spellStart"/>
            <w:r w:rsidRPr="007C3458">
              <w:rPr>
                <w:sz w:val="20"/>
                <w:szCs w:val="20"/>
                <w:lang w:val="en-US"/>
              </w:rPr>
              <w:t>Schalma</w:t>
            </w:r>
            <w:proofErr w:type="spellEnd"/>
            <w:r w:rsidRPr="007C3458">
              <w:rPr>
                <w:sz w:val="20"/>
                <w:szCs w:val="20"/>
                <w:lang w:val="en-US"/>
              </w:rPr>
              <w:t xml:space="preserve">, Y. </w:t>
            </w:r>
            <w:proofErr w:type="spellStart"/>
            <w:r w:rsidRPr="007C3458">
              <w:rPr>
                <w:sz w:val="20"/>
                <w:szCs w:val="20"/>
                <w:lang w:val="en-US"/>
              </w:rPr>
              <w:t>Vanhellemontc</w:t>
            </w:r>
            <w:proofErr w:type="spellEnd"/>
            <w:r w:rsidRPr="007C3458">
              <w:rPr>
                <w:sz w:val="20"/>
                <w:szCs w:val="20"/>
                <w:lang w:val="en-US"/>
              </w:rPr>
              <w:t xml:space="preserve">, V. </w:t>
            </w:r>
            <w:proofErr w:type="spellStart"/>
            <w:r w:rsidRPr="007C3458">
              <w:rPr>
                <w:sz w:val="20"/>
                <w:szCs w:val="20"/>
                <w:lang w:val="en-US"/>
              </w:rPr>
              <w:t>Cnudded</w:t>
            </w:r>
            <w:proofErr w:type="spellEnd"/>
            <w:r w:rsidRPr="007C3458">
              <w:rPr>
                <w:sz w:val="20"/>
                <w:szCs w:val="20"/>
                <w:lang w:val="en-US"/>
              </w:rPr>
              <w:t xml:space="preserve">, E. </w:t>
            </w:r>
            <w:proofErr w:type="spellStart"/>
            <w:r w:rsidRPr="007C3458">
              <w:rPr>
                <w:sz w:val="20"/>
                <w:szCs w:val="20"/>
                <w:lang w:val="en-US"/>
              </w:rPr>
              <w:t>Verhaeven</w:t>
            </w:r>
            <w:proofErr w:type="spellEnd"/>
            <w:r w:rsidRPr="007C3458">
              <w:rPr>
                <w:sz w:val="20"/>
                <w:szCs w:val="20"/>
                <w:lang w:val="en-US"/>
              </w:rPr>
              <w:t xml:space="preserve">. </w:t>
            </w:r>
            <w:r w:rsidRPr="007C3458">
              <w:rPr>
                <w:sz w:val="20"/>
                <w:szCs w:val="20"/>
                <w:lang w:val="en-GB"/>
              </w:rPr>
              <w:t xml:space="preserve">2009. Contact </w:t>
            </w:r>
            <w:r w:rsidRPr="007C3458">
              <w:rPr>
                <w:sz w:val="20"/>
                <w:szCs w:val="20"/>
                <w:lang w:val="en-GB"/>
              </w:rPr>
              <w:lastRenderedPageBreak/>
              <w:t xml:space="preserve">sponge method: Performance of a promising tool for measuring the initial water absorption. Journal of Cultural Heritage. </w:t>
            </w:r>
            <w:r w:rsidRPr="007C3458">
              <w:rPr>
                <w:sz w:val="20"/>
                <w:szCs w:val="20"/>
              </w:rPr>
              <w:t>01/2009; 10(1):41-47.</w:t>
            </w:r>
          </w:p>
          <w:p w14:paraId="0C8664E8" w14:textId="59FC33BD" w:rsidR="005C5746" w:rsidRDefault="005C5746" w:rsidP="005C5746">
            <w:pPr>
              <w:pStyle w:val="TableParagraph"/>
              <w:tabs>
                <w:tab w:val="left" w:pos="828"/>
                <w:tab w:val="left" w:pos="829"/>
              </w:tabs>
              <w:spacing w:before="20" w:line="274" w:lineRule="exact"/>
              <w:ind w:left="828" w:right="98"/>
              <w:rPr>
                <w:sz w:val="24"/>
              </w:rPr>
            </w:pPr>
          </w:p>
        </w:tc>
      </w:tr>
    </w:tbl>
    <w:p w14:paraId="2E70B9E9" w14:textId="77777777" w:rsidR="00E13736" w:rsidRDefault="00E13736" w:rsidP="00E13736">
      <w:pPr>
        <w:spacing w:before="56"/>
      </w:pPr>
    </w:p>
    <w:p w14:paraId="3598F570" w14:textId="6E6E5DB5" w:rsidR="00E13736" w:rsidRPr="00F214A1" w:rsidRDefault="00E13736" w:rsidP="00E13736">
      <w:pPr>
        <w:spacing w:before="56"/>
      </w:pPr>
      <w:r w:rsidRPr="00F214A1">
        <w:t xml:space="preserve">Referente: </w:t>
      </w:r>
      <w:r w:rsidR="007C3458">
        <w:t xml:space="preserve">Silvia </w:t>
      </w:r>
      <w:proofErr w:type="spellStart"/>
      <w:r w:rsidR="007C3458">
        <w:t>Rescic</w:t>
      </w:r>
      <w:proofErr w:type="spellEnd"/>
      <w:r w:rsidR="007C3458">
        <w:t xml:space="preserve"> </w:t>
      </w:r>
      <w:r w:rsidRPr="00F214A1">
        <w:t>(</w:t>
      </w:r>
      <w:r w:rsidR="007C3458">
        <w:t>silvia</w:t>
      </w:r>
      <w:r w:rsidRPr="00F214A1">
        <w:t>.r</w:t>
      </w:r>
      <w:r w:rsidR="007C3458">
        <w:t>escic</w:t>
      </w:r>
      <w:r w:rsidRPr="00F214A1">
        <w:t>@cnr.it)</w:t>
      </w:r>
    </w:p>
    <w:p w14:paraId="2E411C67" w14:textId="77777777" w:rsidR="00090689" w:rsidRDefault="007C3458"/>
    <w:sectPr w:rsidR="00090689">
      <w:pgSz w:w="11910" w:h="16840"/>
      <w:pgMar w:top="14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4C7"/>
    <w:multiLevelType w:val="hybridMultilevel"/>
    <w:tmpl w:val="DA56B15E"/>
    <w:lvl w:ilvl="0" w:tplc="E0720A8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D166F3AA">
      <w:numFmt w:val="bullet"/>
      <w:lvlText w:val="•"/>
      <w:lvlJc w:val="left"/>
      <w:pPr>
        <w:ind w:left="1722" w:hanging="360"/>
      </w:pPr>
      <w:rPr>
        <w:rFonts w:hint="default"/>
        <w:lang w:val="it-IT" w:eastAsia="it-IT" w:bidi="it-IT"/>
      </w:rPr>
    </w:lvl>
    <w:lvl w:ilvl="2" w:tplc="7E26EBB4">
      <w:numFmt w:val="bullet"/>
      <w:lvlText w:val="•"/>
      <w:lvlJc w:val="left"/>
      <w:pPr>
        <w:ind w:left="2625" w:hanging="360"/>
      </w:pPr>
      <w:rPr>
        <w:rFonts w:hint="default"/>
        <w:lang w:val="it-IT" w:eastAsia="it-IT" w:bidi="it-IT"/>
      </w:rPr>
    </w:lvl>
    <w:lvl w:ilvl="3" w:tplc="212C1338">
      <w:numFmt w:val="bullet"/>
      <w:lvlText w:val="•"/>
      <w:lvlJc w:val="left"/>
      <w:pPr>
        <w:ind w:left="3527" w:hanging="360"/>
      </w:pPr>
      <w:rPr>
        <w:rFonts w:hint="default"/>
        <w:lang w:val="it-IT" w:eastAsia="it-IT" w:bidi="it-IT"/>
      </w:rPr>
    </w:lvl>
    <w:lvl w:ilvl="4" w:tplc="98B26590">
      <w:numFmt w:val="bullet"/>
      <w:lvlText w:val="•"/>
      <w:lvlJc w:val="left"/>
      <w:pPr>
        <w:ind w:left="4430" w:hanging="360"/>
      </w:pPr>
      <w:rPr>
        <w:rFonts w:hint="default"/>
        <w:lang w:val="it-IT" w:eastAsia="it-IT" w:bidi="it-IT"/>
      </w:rPr>
    </w:lvl>
    <w:lvl w:ilvl="5" w:tplc="C79ADF70">
      <w:numFmt w:val="bullet"/>
      <w:lvlText w:val="•"/>
      <w:lvlJc w:val="left"/>
      <w:pPr>
        <w:ind w:left="5333" w:hanging="360"/>
      </w:pPr>
      <w:rPr>
        <w:rFonts w:hint="default"/>
        <w:lang w:val="it-IT" w:eastAsia="it-IT" w:bidi="it-IT"/>
      </w:rPr>
    </w:lvl>
    <w:lvl w:ilvl="6" w:tplc="6DCEE7E4">
      <w:numFmt w:val="bullet"/>
      <w:lvlText w:val="•"/>
      <w:lvlJc w:val="left"/>
      <w:pPr>
        <w:ind w:left="6235" w:hanging="360"/>
      </w:pPr>
      <w:rPr>
        <w:rFonts w:hint="default"/>
        <w:lang w:val="it-IT" w:eastAsia="it-IT" w:bidi="it-IT"/>
      </w:rPr>
    </w:lvl>
    <w:lvl w:ilvl="7" w:tplc="D7D0CBE4">
      <w:numFmt w:val="bullet"/>
      <w:lvlText w:val="•"/>
      <w:lvlJc w:val="left"/>
      <w:pPr>
        <w:ind w:left="7138" w:hanging="360"/>
      </w:pPr>
      <w:rPr>
        <w:rFonts w:hint="default"/>
        <w:lang w:val="it-IT" w:eastAsia="it-IT" w:bidi="it-IT"/>
      </w:rPr>
    </w:lvl>
    <w:lvl w:ilvl="8" w:tplc="93C45780">
      <w:numFmt w:val="bullet"/>
      <w:lvlText w:val="•"/>
      <w:lvlJc w:val="left"/>
      <w:pPr>
        <w:ind w:left="804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36"/>
    <w:rsid w:val="0038580E"/>
    <w:rsid w:val="003F153B"/>
    <w:rsid w:val="004279A0"/>
    <w:rsid w:val="005C5746"/>
    <w:rsid w:val="007C3458"/>
    <w:rsid w:val="00E1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664B"/>
  <w15:chartTrackingRefBased/>
  <w15:docId w15:val="{82A4EE05-B824-48CB-90FC-13C36750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37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E13736"/>
    <w:pPr>
      <w:ind w:left="107"/>
    </w:pPr>
  </w:style>
  <w:style w:type="paragraph" w:styleId="Paragrafoelenco">
    <w:name w:val="List Paragraph"/>
    <w:basedOn w:val="Normale"/>
    <w:uiPriority w:val="34"/>
    <w:qFormat/>
    <w:rsid w:val="00E13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Buti</dc:creator>
  <cp:keywords/>
  <dc:description/>
  <cp:lastModifiedBy>Riminesi</cp:lastModifiedBy>
  <cp:revision>2</cp:revision>
  <dcterms:created xsi:type="dcterms:W3CDTF">2020-11-07T08:52:00Z</dcterms:created>
  <dcterms:modified xsi:type="dcterms:W3CDTF">2020-11-07T08:52:00Z</dcterms:modified>
</cp:coreProperties>
</file>