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7"/>
      </w:tblGrid>
      <w:tr w:rsidR="003A7089">
        <w:trPr>
          <w:trHeight w:val="563"/>
        </w:trPr>
        <w:tc>
          <w:tcPr>
            <w:tcW w:w="9857" w:type="dxa"/>
          </w:tcPr>
          <w:p w:rsidR="003A7089" w:rsidRDefault="007666E9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3A7089">
        <w:trPr>
          <w:trHeight w:val="275"/>
        </w:trPr>
        <w:tc>
          <w:tcPr>
            <w:tcW w:w="9857" w:type="dxa"/>
          </w:tcPr>
          <w:p w:rsidR="003A7089" w:rsidRDefault="007666E9" w:rsidP="000B49E9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</w:t>
            </w:r>
            <w:r w:rsidR="000B49E9">
              <w:rPr>
                <w:b/>
                <w:sz w:val="24"/>
              </w:rPr>
              <w:t>SCITEC</w:t>
            </w:r>
          </w:p>
        </w:tc>
      </w:tr>
      <w:tr w:rsidR="003A7089">
        <w:trPr>
          <w:trHeight w:val="1379"/>
        </w:trPr>
        <w:tc>
          <w:tcPr>
            <w:tcW w:w="9857" w:type="dxa"/>
          </w:tcPr>
          <w:p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:rsidR="003A7089" w:rsidRDefault="003A7089">
            <w:pPr>
              <w:pStyle w:val="TableParagraph"/>
              <w:spacing w:before="7"/>
              <w:rPr>
                <w:sz w:val="23"/>
              </w:rPr>
            </w:pPr>
          </w:p>
          <w:p w:rsidR="003A7089" w:rsidRDefault="000B49E9" w:rsidP="000B4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Spettroscopia FT-IR i</w:t>
            </w:r>
            <w:r w:rsidR="00F92CF5">
              <w:rPr>
                <w:sz w:val="24"/>
              </w:rPr>
              <w:t>n</w:t>
            </w:r>
            <w:r>
              <w:rPr>
                <w:sz w:val="24"/>
              </w:rPr>
              <w:t xml:space="preserve"> riflessione</w:t>
            </w:r>
            <w:r w:rsidR="00B22C13">
              <w:rPr>
                <w:sz w:val="24"/>
              </w:rPr>
              <w:t xml:space="preserve"> nel vicino infrarosso</w:t>
            </w:r>
            <w:r w:rsidR="007666E9">
              <w:rPr>
                <w:sz w:val="24"/>
              </w:rPr>
              <w:t xml:space="preserve">: </w:t>
            </w:r>
            <w:r w:rsidR="00B22C13" w:rsidRPr="00B22C13">
              <w:rPr>
                <w:sz w:val="24"/>
              </w:rPr>
              <w:t>JASCO NIR</w:t>
            </w:r>
          </w:p>
        </w:tc>
      </w:tr>
      <w:tr w:rsidR="003A7089" w:rsidRPr="00670F8F">
        <w:trPr>
          <w:trHeight w:val="2760"/>
        </w:trPr>
        <w:tc>
          <w:tcPr>
            <w:tcW w:w="9857" w:type="dxa"/>
          </w:tcPr>
          <w:p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:rsidR="00F92CF5" w:rsidRPr="00F92CF5" w:rsidRDefault="00F92CF5" w:rsidP="00EB59E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B22C13" w:rsidRPr="00670F8F" w:rsidRDefault="000B49E9" w:rsidP="00670F8F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B49E9">
              <w:rPr>
                <w:sz w:val="24"/>
              </w:rPr>
              <w:t xml:space="preserve">La spettroscopia FT-IR in riflessione è </w:t>
            </w:r>
            <w:r w:rsidR="00993BC2">
              <w:rPr>
                <w:sz w:val="24"/>
              </w:rPr>
              <w:t xml:space="preserve">una spettroscopia vibrazionale </w:t>
            </w:r>
            <w:r w:rsidRPr="000B49E9">
              <w:rPr>
                <w:sz w:val="24"/>
              </w:rPr>
              <w:t xml:space="preserve">ampiamente utilizzata nel campo della scienza </w:t>
            </w:r>
            <w:r>
              <w:rPr>
                <w:sz w:val="24"/>
              </w:rPr>
              <w:t xml:space="preserve">per </w:t>
            </w:r>
            <w:r w:rsidRPr="000B49E9">
              <w:rPr>
                <w:sz w:val="24"/>
              </w:rPr>
              <w:t>i beni culturali</w:t>
            </w:r>
            <w:r>
              <w:rPr>
                <w:sz w:val="24"/>
              </w:rPr>
              <w:t xml:space="preserve"> per la caratterizzazione e identificazione dei materiali inorganici </w:t>
            </w: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 xml:space="preserve"> organici. </w:t>
            </w:r>
            <w:r w:rsidR="00993BC2">
              <w:rPr>
                <w:sz w:val="24"/>
              </w:rPr>
              <w:t xml:space="preserve">La misura </w:t>
            </w:r>
            <w:r>
              <w:rPr>
                <w:sz w:val="24"/>
              </w:rPr>
              <w:t xml:space="preserve">di specifici segnali </w:t>
            </w:r>
            <w:proofErr w:type="gramStart"/>
            <w:r>
              <w:rPr>
                <w:sz w:val="24"/>
              </w:rPr>
              <w:t>relativi a</w:t>
            </w:r>
            <w:proofErr w:type="gramEnd"/>
            <w:r>
              <w:rPr>
                <w:sz w:val="24"/>
              </w:rPr>
              <w:t xml:space="preserve"> gruppi funzionali molecolari permette </w:t>
            </w:r>
            <w:r w:rsidR="00F92CF5">
              <w:rPr>
                <w:sz w:val="24"/>
              </w:rPr>
              <w:t>il riconoscimento</w:t>
            </w:r>
            <w:r>
              <w:rPr>
                <w:sz w:val="24"/>
              </w:rPr>
              <w:t xml:space="preserve"> del materiale esaminato.</w:t>
            </w:r>
            <w:r w:rsidR="00EB59E4">
              <w:rPr>
                <w:sz w:val="24"/>
              </w:rPr>
              <w:t xml:space="preserve"> </w:t>
            </w:r>
            <w:r w:rsidR="00B22C13">
              <w:rPr>
                <w:sz w:val="24"/>
              </w:rPr>
              <w:t>Nella finestra spettrale del vicino infrarosso (</w:t>
            </w:r>
            <w:proofErr w:type="spellStart"/>
            <w:r w:rsidR="00B22C13">
              <w:rPr>
                <w:sz w:val="24"/>
              </w:rPr>
              <w:t>NIR</w:t>
            </w:r>
            <w:proofErr w:type="spellEnd"/>
            <w:r w:rsidR="00B22C13">
              <w:rPr>
                <w:sz w:val="24"/>
              </w:rPr>
              <w:t xml:space="preserve">) </w:t>
            </w:r>
            <w:r w:rsidR="00256BA7">
              <w:rPr>
                <w:sz w:val="24"/>
              </w:rPr>
              <w:t xml:space="preserve">tipicamente </w:t>
            </w:r>
            <w:r w:rsidR="00B22C13">
              <w:rPr>
                <w:sz w:val="24"/>
              </w:rPr>
              <w:t xml:space="preserve">cadono bande </w:t>
            </w:r>
            <w:r w:rsidR="00993BC2">
              <w:rPr>
                <w:sz w:val="24"/>
              </w:rPr>
              <w:t xml:space="preserve">vibrazionali </w:t>
            </w:r>
            <w:r w:rsidR="00B22C13">
              <w:rPr>
                <w:sz w:val="24"/>
              </w:rPr>
              <w:t xml:space="preserve">di combinazione </w:t>
            </w:r>
            <w:proofErr w:type="gramStart"/>
            <w:r w:rsidR="00B22C13">
              <w:rPr>
                <w:sz w:val="24"/>
              </w:rPr>
              <w:t>e</w:t>
            </w:r>
            <w:r w:rsidR="00256BA7">
              <w:rPr>
                <w:sz w:val="24"/>
              </w:rPr>
              <w:t>d</w:t>
            </w:r>
            <w:proofErr w:type="gramEnd"/>
            <w:r w:rsidR="00B22C13">
              <w:rPr>
                <w:sz w:val="24"/>
              </w:rPr>
              <w:t xml:space="preserve"> armoniche </w:t>
            </w:r>
            <w:r w:rsidR="00670F8F">
              <w:rPr>
                <w:sz w:val="24"/>
              </w:rPr>
              <w:t>e che avendo dei coefficienti di assorbimento bassi non sono distorte da effetti matrice derivanti dalla modalità di acquisizione in riflessione.</w:t>
            </w:r>
            <w:r w:rsidR="00B22C13">
              <w:rPr>
                <w:sz w:val="24"/>
              </w:rPr>
              <w:t xml:space="preserve"> La penetrazione della radiazione NIR permette lo studio </w:t>
            </w:r>
            <w:r w:rsidR="00670F8F">
              <w:rPr>
                <w:sz w:val="24"/>
              </w:rPr>
              <w:t xml:space="preserve">di superfici pittoriche </w:t>
            </w:r>
            <w:r w:rsidR="00A104CA">
              <w:rPr>
                <w:sz w:val="24"/>
              </w:rPr>
              <w:t xml:space="preserve">e degli strati di preparazione </w:t>
            </w:r>
            <w:r w:rsidR="00670F8F">
              <w:rPr>
                <w:sz w:val="24"/>
              </w:rPr>
              <w:t xml:space="preserve">anche </w:t>
            </w:r>
            <w:proofErr w:type="gramStart"/>
            <w:r w:rsidR="00670F8F">
              <w:rPr>
                <w:sz w:val="24"/>
              </w:rPr>
              <w:t>in presenza</w:t>
            </w:r>
            <w:proofErr w:type="gramEnd"/>
            <w:r w:rsidR="00670F8F">
              <w:rPr>
                <w:sz w:val="24"/>
              </w:rPr>
              <w:t xml:space="preserve"> di vernici.</w:t>
            </w:r>
          </w:p>
          <w:p w:rsidR="00B22C13" w:rsidRPr="00670F8F" w:rsidRDefault="00B22C13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</w:p>
        </w:tc>
      </w:tr>
      <w:tr w:rsidR="003A7089" w:rsidTr="00CD5123">
        <w:trPr>
          <w:trHeight w:val="4810"/>
        </w:trPr>
        <w:tc>
          <w:tcPr>
            <w:tcW w:w="9857" w:type="dxa"/>
          </w:tcPr>
          <w:p w:rsidR="003A7089" w:rsidRPr="00670F8F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:rsidR="0032210C" w:rsidRPr="0032210C" w:rsidRDefault="00F92CF5" w:rsidP="00EC2745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F92CF5">
              <w:rPr>
                <w:sz w:val="24"/>
              </w:rPr>
              <w:t xml:space="preserve">Lo spettrometro portatile </w:t>
            </w:r>
            <w:r w:rsidR="0032210C" w:rsidRPr="0032210C">
              <w:rPr>
                <w:sz w:val="24"/>
              </w:rPr>
              <w:t xml:space="preserve">JASCO NIR </w:t>
            </w:r>
            <w:r>
              <w:rPr>
                <w:sz w:val="24"/>
              </w:rPr>
              <w:t xml:space="preserve">lavora in riflessione raccogliendo la radiazione riflessa </w:t>
            </w:r>
            <w:r w:rsidR="00C532CD">
              <w:rPr>
                <w:sz w:val="24"/>
              </w:rPr>
              <w:t xml:space="preserve">(con un layout ottico di </w:t>
            </w:r>
            <w:r w:rsidR="0032210C">
              <w:rPr>
                <w:sz w:val="24"/>
              </w:rPr>
              <w:t>0</w:t>
            </w:r>
            <w:r w:rsidR="00C532CD">
              <w:rPr>
                <w:sz w:val="24"/>
              </w:rPr>
              <w:t>°/</w:t>
            </w:r>
            <w:r w:rsidR="0032210C">
              <w:rPr>
                <w:sz w:val="24"/>
              </w:rPr>
              <w:t>0°)</w:t>
            </w:r>
            <w:r w:rsidR="00C532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 una superficie </w:t>
            </w:r>
            <w:proofErr w:type="gramStart"/>
            <w:r w:rsidR="00A104CA">
              <w:rPr>
                <w:sz w:val="24"/>
              </w:rPr>
              <w:t>ad</w:t>
            </w:r>
            <w:proofErr w:type="gramEnd"/>
            <w:r w:rsidR="00A104CA">
              <w:rPr>
                <w:sz w:val="24"/>
              </w:rPr>
              <w:t xml:space="preserve"> una distanza di circa 6mm </w:t>
            </w:r>
            <w:r w:rsidR="0032210C">
              <w:rPr>
                <w:sz w:val="24"/>
              </w:rPr>
              <w:t xml:space="preserve">nella finestra spettrale </w:t>
            </w:r>
            <w:r w:rsidR="0032210C" w:rsidRPr="0032210C">
              <w:rPr>
                <w:sz w:val="24"/>
              </w:rPr>
              <w:t>12500-4000 cm</w:t>
            </w:r>
            <w:r w:rsidR="0032210C" w:rsidRPr="0032210C">
              <w:rPr>
                <w:sz w:val="24"/>
                <w:vertAlign w:val="superscript"/>
              </w:rPr>
              <w:t>-1</w:t>
            </w:r>
            <w:r>
              <w:rPr>
                <w:sz w:val="24"/>
              </w:rPr>
              <w:t xml:space="preserve">. La strumentazione è dotata di una sorgente </w:t>
            </w:r>
            <w:r w:rsidR="0032210C">
              <w:rPr>
                <w:sz w:val="24"/>
              </w:rPr>
              <w:t>alogena</w:t>
            </w:r>
            <w:r>
              <w:rPr>
                <w:sz w:val="24"/>
              </w:rPr>
              <w:t xml:space="preserve">, di un interferometro di </w:t>
            </w:r>
            <w:proofErr w:type="spellStart"/>
            <w:r>
              <w:rPr>
                <w:sz w:val="24"/>
              </w:rPr>
              <w:t>Michelson</w:t>
            </w:r>
            <w:proofErr w:type="spellEnd"/>
            <w:r>
              <w:rPr>
                <w:sz w:val="24"/>
              </w:rPr>
              <w:t xml:space="preserve"> e un detector </w:t>
            </w:r>
            <w:proofErr w:type="spellStart"/>
            <w:r w:rsidR="0032210C">
              <w:rPr>
                <w:sz w:val="24"/>
              </w:rPr>
              <w:t>InGaAs</w:t>
            </w:r>
            <w:proofErr w:type="spellEnd"/>
            <w:r w:rsidR="0032210C">
              <w:rPr>
                <w:sz w:val="24"/>
              </w:rPr>
              <w:t xml:space="preserve"> e di </w:t>
            </w:r>
            <w:proofErr w:type="gramStart"/>
            <w:r w:rsidR="0032210C">
              <w:rPr>
                <w:sz w:val="24"/>
              </w:rPr>
              <w:t>un</w:t>
            </w:r>
            <w:proofErr w:type="gramEnd"/>
            <w:r w:rsidR="0032210C">
              <w:rPr>
                <w:sz w:val="24"/>
              </w:rPr>
              <w:t xml:space="preserve"> probe di misura a fibre ottiche in vetro</w:t>
            </w:r>
            <w:r w:rsidRPr="00F92CF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Start"/>
            <w:r w:rsidR="0032210C">
              <w:rPr>
                <w:sz w:val="24"/>
              </w:rPr>
              <w:t>Il</w:t>
            </w:r>
            <w:proofErr w:type="gramEnd"/>
            <w:r w:rsidR="0032210C">
              <w:rPr>
                <w:sz w:val="24"/>
              </w:rPr>
              <w:t xml:space="preserve"> probe di misura è costituito da 14 fibre di cui 7 portano la radiazione e le altre sette la raccolgono dalla superficie. La risoluzione spettrale normalmente utilizzata è di </w:t>
            </w:r>
            <w:proofErr w:type="gramStart"/>
            <w:r w:rsidR="0032210C">
              <w:rPr>
                <w:sz w:val="24"/>
              </w:rPr>
              <w:t>4</w:t>
            </w:r>
            <w:proofErr w:type="gramEnd"/>
            <w:r w:rsidR="0032210C">
              <w:rPr>
                <w:sz w:val="24"/>
              </w:rPr>
              <w:t xml:space="preserve"> cm</w:t>
            </w:r>
            <w:r w:rsidR="0032210C" w:rsidRPr="0032210C">
              <w:rPr>
                <w:sz w:val="24"/>
                <w:vertAlign w:val="superscript"/>
              </w:rPr>
              <w:t>-1</w:t>
            </w:r>
            <w:r w:rsidR="0032210C">
              <w:rPr>
                <w:sz w:val="24"/>
              </w:rPr>
              <w:t xml:space="preserve"> e l'area investigata è di circa 12 mm</w:t>
            </w:r>
            <w:r w:rsidR="0032210C" w:rsidRPr="0032210C">
              <w:rPr>
                <w:sz w:val="24"/>
                <w:vertAlign w:val="superscript"/>
              </w:rPr>
              <w:t>2</w:t>
            </w:r>
            <w:r w:rsidR="0032210C">
              <w:rPr>
                <w:sz w:val="24"/>
              </w:rPr>
              <w:t xml:space="preserve">. La </w:t>
            </w:r>
            <w:r w:rsidR="0032210C">
              <w:rPr>
                <w:sz w:val="24"/>
              </w:rPr>
              <w:t xml:space="preserve">strumentazione di dimensioni </w:t>
            </w:r>
            <w:r w:rsidR="0032210C" w:rsidRPr="0032210C">
              <w:rPr>
                <w:sz w:val="24"/>
              </w:rPr>
              <w:t>30x30x45 cm</w:t>
            </w:r>
            <w:r w:rsidR="0032210C" w:rsidRPr="0032210C">
              <w:rPr>
                <w:sz w:val="24"/>
                <w:vertAlign w:val="superscript"/>
              </w:rPr>
              <w:t>3</w:t>
            </w:r>
            <w:r w:rsidR="0032210C">
              <w:rPr>
                <w:sz w:val="24"/>
              </w:rPr>
              <w:t xml:space="preserve"> pesa circa 30kg. Può essere </w:t>
            </w:r>
            <w:proofErr w:type="gramStart"/>
            <w:r w:rsidR="0032210C">
              <w:rPr>
                <w:sz w:val="24"/>
              </w:rPr>
              <w:t>posizionata</w:t>
            </w:r>
            <w:proofErr w:type="gramEnd"/>
            <w:r w:rsidR="0032210C">
              <w:rPr>
                <w:sz w:val="24"/>
              </w:rPr>
              <w:t xml:space="preserve"> su un tavolo o anche lasciata </w:t>
            </w:r>
            <w:r w:rsidR="00256BA7">
              <w:rPr>
                <w:sz w:val="24"/>
              </w:rPr>
              <w:t>a terra</w:t>
            </w:r>
            <w:r w:rsidR="0032210C">
              <w:rPr>
                <w:sz w:val="24"/>
              </w:rPr>
              <w:t xml:space="preserve"> sfruttando le fibre ottiche di 2 metri per raggiungere l'oggetto da analizzare.</w:t>
            </w:r>
          </w:p>
          <w:p w:rsidR="0032210C" w:rsidRDefault="0032210C" w:rsidP="00EC2745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32210C" w:rsidRDefault="0032210C" w:rsidP="00EC2745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3A7089" w:rsidRDefault="007666E9" w:rsidP="00EC274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Figura: </w:t>
            </w:r>
            <w:r w:rsidR="008E75A9">
              <w:rPr>
                <w:sz w:val="24"/>
              </w:rPr>
              <w:t xml:space="preserve">a) </w:t>
            </w:r>
            <w:r>
              <w:rPr>
                <w:sz w:val="24"/>
              </w:rPr>
              <w:t xml:space="preserve">Condizioni operative dello spettrometro </w:t>
            </w:r>
            <w:r w:rsidR="00EC2745">
              <w:rPr>
                <w:sz w:val="24"/>
              </w:rPr>
              <w:t xml:space="preserve">FT-IR </w:t>
            </w:r>
            <w:r w:rsidR="00A104CA">
              <w:rPr>
                <w:sz w:val="24"/>
              </w:rPr>
              <w:t xml:space="preserve">JASCO NIR </w:t>
            </w:r>
            <w:r w:rsidR="00EC2745">
              <w:rPr>
                <w:sz w:val="24"/>
              </w:rPr>
              <w:t>in riflessione</w:t>
            </w:r>
            <w:r w:rsidR="008E75A9">
              <w:rPr>
                <w:sz w:val="24"/>
              </w:rPr>
              <w:t xml:space="preserve">, b) potenzialità analitiche della tecnica per l'identificazione dei </w:t>
            </w:r>
            <w:r w:rsidR="00CD5123">
              <w:rPr>
                <w:sz w:val="24"/>
              </w:rPr>
              <w:t xml:space="preserve">pigmenti, dei </w:t>
            </w:r>
            <w:r w:rsidR="008E75A9">
              <w:rPr>
                <w:sz w:val="24"/>
              </w:rPr>
              <w:t>materiali organici</w:t>
            </w:r>
            <w:r w:rsidR="00CD5123">
              <w:rPr>
                <w:sz w:val="24"/>
              </w:rPr>
              <w:t xml:space="preserve"> </w:t>
            </w:r>
            <w:proofErr w:type="gramStart"/>
            <w:r w:rsidR="00CD5123">
              <w:rPr>
                <w:sz w:val="24"/>
              </w:rPr>
              <w:t>ed</w:t>
            </w:r>
            <w:proofErr w:type="gramEnd"/>
            <w:r w:rsidR="00CD5123">
              <w:rPr>
                <w:sz w:val="24"/>
              </w:rPr>
              <w:t xml:space="preserve"> inorganici</w:t>
            </w:r>
          </w:p>
          <w:p w:rsidR="00166153" w:rsidRPr="009D08F6" w:rsidRDefault="008C3D1C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  <w:r>
              <w:rPr>
                <w:noProof/>
                <w:sz w:val="24"/>
                <w:lang w:eastAsia="en-GB" w:bidi="ar-SA"/>
              </w:rPr>
              <w:t>a)</w:t>
            </w:r>
          </w:p>
          <w:p w:rsidR="008E75A9" w:rsidRDefault="00C14FE0" w:rsidP="008E75A9">
            <w:pPr>
              <w:pStyle w:val="TableParagraph"/>
              <w:ind w:left="107"/>
              <w:jc w:val="both"/>
              <w:rPr>
                <w:sz w:val="24"/>
              </w:rPr>
            </w:pPr>
            <w:r w:rsidRPr="00C14FE0">
              <w:rPr>
                <w:noProof/>
                <w:sz w:val="24"/>
                <w:lang w:val="en-GB" w:eastAsia="en-GB" w:bidi="ar-SA"/>
              </w:rPr>
              <w:drawing>
                <wp:inline distT="0" distB="0" distL="0" distR="0">
                  <wp:extent cx="3517900" cy="2660364"/>
                  <wp:effectExtent l="19050" t="0" r="6350" b="0"/>
                  <wp:docPr id="4" name="Immagine 2" descr="LUK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5" name="Picture 6" descr="LUK_2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610" cy="2659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1C" w:rsidRDefault="008C3D1C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8C3D1C" w:rsidRDefault="008C3D1C" w:rsidP="008E75A9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8C3D1C" w:rsidRDefault="008C3D1C" w:rsidP="008C3D1C">
            <w:pPr>
              <w:pStyle w:val="TableParagraph"/>
              <w:jc w:val="both"/>
              <w:rPr>
                <w:sz w:val="24"/>
              </w:rPr>
            </w:pPr>
          </w:p>
          <w:p w:rsidR="008E75A9" w:rsidRDefault="008C3D1C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</w:p>
          <w:p w:rsidR="00D437FB" w:rsidRDefault="00373017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noProof/>
                <w:sz w:val="24"/>
                <w:lang w:val="en-GB" w:eastAsia="en-GB" w:bidi="ar-SA"/>
              </w:rPr>
              <w:lastRenderedPageBreak/>
              <w:drawing>
                <wp:inline distT="0" distB="0" distL="0" distR="0">
                  <wp:extent cx="4536140" cy="2903973"/>
                  <wp:effectExtent l="19050" t="0" r="0" b="0"/>
                  <wp:docPr id="6" name="Immagine 5" descr="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R.jpg"/>
                          <pic:cNvPicPr/>
                        </pic:nvPicPr>
                        <pic:blipFill>
                          <a:blip r:embed="rId6" cstate="print"/>
                          <a:srcRect l="5644" t="18221" r="21781" b="19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140" cy="290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089" w:rsidRDefault="003A7089">
      <w:pPr>
        <w:jc w:val="both"/>
        <w:rPr>
          <w:sz w:val="24"/>
        </w:rPr>
        <w:sectPr w:rsidR="003A7089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:rsidR="003A7089" w:rsidRDefault="004C2FA1">
      <w:pPr>
        <w:pStyle w:val="Corpodeltesto"/>
        <w:ind w:left="99"/>
        <w:rPr>
          <w:sz w:val="20"/>
        </w:rPr>
      </w:pPr>
      <w:r w:rsidRPr="004C2FA1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10.7pt;mso-position-horizontal-relative:char;mso-position-vertical-relative:line" filled="f" strokeweight=".48pt">
            <v:textbox inset="0,0,0,0">
              <w:txbxContent>
                <w:p w:rsidR="003A7089" w:rsidRDefault="003A7089">
                  <w:pPr>
                    <w:pStyle w:val="Corpodeltesto"/>
                    <w:spacing w:before="11"/>
                    <w:rPr>
                      <w:sz w:val="23"/>
                    </w:rPr>
                  </w:pPr>
                </w:p>
                <w:p w:rsidR="003A7089" w:rsidRDefault="007666E9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MAGGIORI</w:t>
                  </w:r>
                  <w:proofErr w:type="gramEnd"/>
                  <w:r>
                    <w:rPr>
                      <w:b/>
                      <w:sz w:val="24"/>
                    </w:rPr>
                    <w:t xml:space="preserve"> INFORMAZIONI:</w:t>
                  </w:r>
                </w:p>
                <w:p w:rsidR="009D08F6" w:rsidRPr="00CD5123" w:rsidRDefault="009D08F6" w:rsidP="009D08F6">
                  <w:pPr>
                    <w:pStyle w:val="Paragrafoelenco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824"/>
                    </w:tabs>
                    <w:autoSpaceDE/>
                    <w:autoSpaceDN/>
                    <w:spacing w:before="2"/>
                    <w:ind w:right="99"/>
                    <w:jc w:val="both"/>
                    <w:outlineLvl w:val="0"/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</w:pPr>
                  <w:r w:rsidRPr="009D08F6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Recent trends in the application of Fourier Transform Infrared (FT-</w:t>
                  </w:r>
                  <w:proofErr w:type="spellStart"/>
                  <w:r w:rsidRPr="009D08F6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IR</w:t>
                  </w:r>
                  <w:proofErr w:type="spellEnd"/>
                  <w:r w:rsidRPr="009D08F6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) spectroscopy in Heritage Science: fro</w:t>
                  </w:r>
                  <w:r w:rsid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m micro- to non-invasive FT-</w:t>
                  </w:r>
                  <w:proofErr w:type="spellStart"/>
                  <w:r w:rsid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IR</w:t>
                  </w:r>
                  <w:proofErr w:type="spellEnd"/>
                  <w:r w:rsid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,</w:t>
                  </w:r>
                  <w:r w:rsidRPr="009D08F6">
                    <w:rPr>
                      <w:sz w:val="24"/>
                      <w:szCs w:val="24"/>
                      <w:lang w:val="en-GB"/>
                    </w:rPr>
                    <w:t xml:space="preserve"> Physical Sciences Reviews 4(11), 20180006, </w:t>
                  </w:r>
                  <w:proofErr w:type="spellStart"/>
                  <w:r w:rsidRPr="009D08F6">
                    <w:rPr>
                      <w:sz w:val="24"/>
                      <w:szCs w:val="24"/>
                      <w:lang w:val="en-GB"/>
                    </w:rPr>
                    <w:t>eISSN</w:t>
                  </w:r>
                  <w:proofErr w:type="spellEnd"/>
                  <w:r w:rsidRPr="009D08F6">
                    <w:rPr>
                      <w:sz w:val="24"/>
                      <w:szCs w:val="24"/>
                      <w:lang w:val="en-GB"/>
                    </w:rPr>
                    <w:t xml:space="preserve"> 2365-</w:t>
                  </w:r>
                  <w:r w:rsidRPr="008F6E0F">
                    <w:rPr>
                      <w:sz w:val="24"/>
                      <w:szCs w:val="24"/>
                      <w:lang w:val="en-GB"/>
                    </w:rPr>
                    <w:t xml:space="preserve">659X, </w:t>
                  </w:r>
                  <w:hyperlink r:id="rId7" w:tgtFrame="_blank" w:history="1">
                    <w:r w:rsidR="008F6E0F" w:rsidRPr="008F6E0F">
                      <w:rPr>
                        <w:rStyle w:val="Collegamentoipertestuale"/>
                        <w:color w:val="007596"/>
                        <w:sz w:val="24"/>
                        <w:szCs w:val="24"/>
                        <w:shd w:val="clear" w:color="auto" w:fill="FFFFFF"/>
                        <w:lang w:val="en-GB"/>
                      </w:rPr>
                      <w:t>https://doi.org/10.1515/9783110457537-006</w:t>
                    </w:r>
                  </w:hyperlink>
                </w:p>
                <w:p w:rsidR="00CD5123" w:rsidRPr="00CD5123" w:rsidRDefault="00CD5123" w:rsidP="00CD5123">
                  <w:pPr>
                    <w:pStyle w:val="Paragrafoelenco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824"/>
                    </w:tabs>
                    <w:autoSpaceDE/>
                    <w:autoSpaceDN/>
                    <w:spacing w:before="2"/>
                    <w:ind w:right="99"/>
                    <w:jc w:val="both"/>
                    <w:outlineLvl w:val="0"/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</w:pPr>
                  <w:r w:rsidRP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Interpretation of mid and near-infrared reflection properties of synthetic polymer paints for the non-invasive assessment of binding media in</w:t>
                  </w:r>
                  <w:r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P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twentieth-century pictorial artworks</w:t>
                  </w:r>
                  <w:r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proofErr w:type="spellStart"/>
                  <w:r w:rsidRP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>Microchemical</w:t>
                  </w:r>
                  <w:proofErr w:type="spellEnd"/>
                  <w:r w:rsidRPr="00CD5123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 xml:space="preserve"> Journal 124 (2016) 898–908</w:t>
                  </w:r>
                  <w:r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 xml:space="preserve"> </w:t>
                  </w:r>
                  <w:r w:rsidRPr="00CD5123">
                    <w:rPr>
                      <w:rFonts w:ascii="AdvTT5235d5a9" w:eastAsiaTheme="minorHAnsi" w:hAnsi="AdvTT5235d5a9" w:cs="AdvTT5235d5a9"/>
                      <w:color w:val="0000FF"/>
                      <w:sz w:val="24"/>
                      <w:szCs w:val="24"/>
                      <w:lang w:val="en-GB" w:eastAsia="en-US" w:bidi="ar-SA"/>
                    </w:rPr>
                    <w:t>http://dx.doi.org/10.1016/j.microc.2015.08.019</w:t>
                  </w:r>
                </w:p>
              </w:txbxContent>
            </v:textbox>
            <w10:wrap type="none"/>
            <w10:anchorlock/>
          </v:shape>
        </w:pict>
      </w:r>
    </w:p>
    <w:p w:rsidR="003A7089" w:rsidRDefault="003A7089">
      <w:pPr>
        <w:pStyle w:val="Corpodeltesto"/>
        <w:spacing w:before="6"/>
        <w:rPr>
          <w:sz w:val="26"/>
        </w:rPr>
      </w:pPr>
    </w:p>
    <w:p w:rsidR="009D08F6" w:rsidRDefault="007666E9" w:rsidP="00CD5123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9D08F6">
        <w:rPr>
          <w:rFonts w:ascii="Calibri"/>
        </w:rPr>
        <w:t>Francesca Rosi</w:t>
      </w:r>
      <w:r>
        <w:rPr>
          <w:rFonts w:ascii="Calibri"/>
        </w:rPr>
        <w:t xml:space="preserve"> (</w:t>
      </w:r>
      <w:hyperlink r:id="rId8" w:history="1">
        <w:r w:rsidR="009D08F6" w:rsidRPr="00AB5D2A">
          <w:rPr>
            <w:rStyle w:val="Collegamentoipertestuale"/>
            <w:rFonts w:ascii="Calibri"/>
          </w:rPr>
          <w:t>francesca.rosi@cnr.it</w:t>
        </w:r>
      </w:hyperlink>
      <w:r>
        <w:rPr>
          <w:rFonts w:ascii="Calibri"/>
        </w:rPr>
        <w:t>)</w:t>
      </w:r>
    </w:p>
    <w:sectPr w:rsidR="009D08F6" w:rsidSect="003A70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461"/>
    <w:multiLevelType w:val="hybridMultilevel"/>
    <w:tmpl w:val="E556CB1C"/>
    <w:lvl w:ilvl="0" w:tplc="AEE640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37AC47C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82C0A69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8C68DBC6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BED0E85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4B0A18EC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7D022140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FA0682AE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B358A6BA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7089"/>
    <w:rsid w:val="000B49E9"/>
    <w:rsid w:val="000D25CF"/>
    <w:rsid w:val="00166153"/>
    <w:rsid w:val="001C41B0"/>
    <w:rsid w:val="00256BA7"/>
    <w:rsid w:val="0032210C"/>
    <w:rsid w:val="00373017"/>
    <w:rsid w:val="003A7089"/>
    <w:rsid w:val="004C2FA1"/>
    <w:rsid w:val="00544069"/>
    <w:rsid w:val="00670F8F"/>
    <w:rsid w:val="00732561"/>
    <w:rsid w:val="007666E9"/>
    <w:rsid w:val="008C3D1C"/>
    <w:rsid w:val="008E75A9"/>
    <w:rsid w:val="008F6E0F"/>
    <w:rsid w:val="00993BC2"/>
    <w:rsid w:val="0099771E"/>
    <w:rsid w:val="009D08F6"/>
    <w:rsid w:val="00A104CA"/>
    <w:rsid w:val="00A728A1"/>
    <w:rsid w:val="00A91A2E"/>
    <w:rsid w:val="00AE126C"/>
    <w:rsid w:val="00B22C13"/>
    <w:rsid w:val="00C14FE0"/>
    <w:rsid w:val="00C33E69"/>
    <w:rsid w:val="00C532CD"/>
    <w:rsid w:val="00CD5123"/>
    <w:rsid w:val="00D437FB"/>
    <w:rsid w:val="00DD0912"/>
    <w:rsid w:val="00DD0F6D"/>
    <w:rsid w:val="00E67D59"/>
    <w:rsid w:val="00EB59E4"/>
    <w:rsid w:val="00EC2745"/>
    <w:rsid w:val="00F92CF5"/>
    <w:rsid w:val="00F9536A"/>
    <w:rsid w:val="00F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708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D08F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708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A7089"/>
  </w:style>
  <w:style w:type="paragraph" w:customStyle="1" w:styleId="TableParagraph">
    <w:name w:val="Table Paragraph"/>
    <w:basedOn w:val="Normale"/>
    <w:uiPriority w:val="1"/>
    <w:qFormat/>
    <w:rsid w:val="003A7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56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08F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9D0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rosi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/9783110457537-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Rosi F</cp:lastModifiedBy>
  <cp:revision>2</cp:revision>
  <dcterms:created xsi:type="dcterms:W3CDTF">2020-10-29T14:23:00Z</dcterms:created>
  <dcterms:modified xsi:type="dcterms:W3CDTF">2020-10-29T14:23:00Z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