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7"/>
      </w:tblGrid>
      <w:tr w:rsidR="00B634D9" w14:paraId="29B8095C" w14:textId="77777777" w:rsidTr="003F23D7">
        <w:trPr>
          <w:trHeight w:val="563"/>
        </w:trPr>
        <w:tc>
          <w:tcPr>
            <w:tcW w:w="9857" w:type="dxa"/>
            <w:vAlign w:val="center"/>
          </w:tcPr>
          <w:p w14:paraId="7CB43DE9" w14:textId="77777777" w:rsidR="00B634D9" w:rsidRDefault="00D129A6" w:rsidP="003F23D7">
            <w:pPr>
              <w:pStyle w:val="TableParagraph"/>
              <w:spacing w:line="273" w:lineRule="exact"/>
              <w:ind w:left="2358" w:right="2353"/>
              <w:jc w:val="center"/>
              <w:rPr>
                <w:b/>
                <w:sz w:val="24"/>
              </w:rPr>
            </w:pPr>
            <w:r>
              <w:rPr>
                <w:b/>
                <w:sz w:val="24"/>
              </w:rPr>
              <w:t>STRUMENTAZIONE MOLAB: DESCRIZIONE</w:t>
            </w:r>
          </w:p>
        </w:tc>
      </w:tr>
      <w:tr w:rsidR="00B634D9" w14:paraId="3B6B4E6E" w14:textId="77777777">
        <w:trPr>
          <w:trHeight w:val="275"/>
        </w:trPr>
        <w:tc>
          <w:tcPr>
            <w:tcW w:w="9857" w:type="dxa"/>
          </w:tcPr>
          <w:p w14:paraId="144BCFB0" w14:textId="77777777" w:rsidR="00B634D9" w:rsidRDefault="00D129A6" w:rsidP="00323562">
            <w:pPr>
              <w:pStyle w:val="TableParagraph"/>
              <w:spacing w:line="256" w:lineRule="exact"/>
              <w:ind w:left="2358" w:right="2351"/>
              <w:jc w:val="center"/>
              <w:rPr>
                <w:b/>
                <w:sz w:val="24"/>
              </w:rPr>
            </w:pPr>
            <w:r>
              <w:rPr>
                <w:b/>
                <w:sz w:val="24"/>
              </w:rPr>
              <w:t>LABORATORIO: CNR-IS</w:t>
            </w:r>
            <w:r w:rsidR="00323562">
              <w:rPr>
                <w:b/>
                <w:sz w:val="24"/>
              </w:rPr>
              <w:t>PC</w:t>
            </w:r>
          </w:p>
        </w:tc>
      </w:tr>
      <w:tr w:rsidR="00B634D9" w14:paraId="302BF421" w14:textId="77777777">
        <w:trPr>
          <w:trHeight w:val="1379"/>
        </w:trPr>
        <w:tc>
          <w:tcPr>
            <w:tcW w:w="9857" w:type="dxa"/>
          </w:tcPr>
          <w:p w14:paraId="1EACB458" w14:textId="77777777" w:rsidR="00B634D9" w:rsidRDefault="00B634D9">
            <w:pPr>
              <w:pStyle w:val="TableParagraph"/>
              <w:spacing w:before="5"/>
              <w:rPr>
                <w:sz w:val="23"/>
              </w:rPr>
            </w:pPr>
          </w:p>
          <w:p w14:paraId="628F5A66" w14:textId="77777777" w:rsidR="00B634D9" w:rsidRDefault="00D129A6">
            <w:pPr>
              <w:pStyle w:val="TableParagraph"/>
              <w:ind w:left="107"/>
              <w:rPr>
                <w:b/>
                <w:sz w:val="24"/>
              </w:rPr>
            </w:pPr>
            <w:r>
              <w:rPr>
                <w:b/>
                <w:sz w:val="24"/>
              </w:rPr>
              <w:t>NOME STRUMENTO</w:t>
            </w:r>
          </w:p>
          <w:p w14:paraId="308BF15E" w14:textId="77777777" w:rsidR="00B634D9" w:rsidRDefault="00B634D9">
            <w:pPr>
              <w:pStyle w:val="TableParagraph"/>
              <w:spacing w:before="7"/>
              <w:rPr>
                <w:sz w:val="23"/>
              </w:rPr>
            </w:pPr>
          </w:p>
          <w:p w14:paraId="03B775B9" w14:textId="62C9591D" w:rsidR="00B634D9" w:rsidRDefault="003F23D7" w:rsidP="0075101E">
            <w:pPr>
              <w:pStyle w:val="TableParagraph"/>
              <w:ind w:left="107"/>
              <w:rPr>
                <w:sz w:val="24"/>
              </w:rPr>
            </w:pPr>
            <w:proofErr w:type="spellStart"/>
            <w:r>
              <w:rPr>
                <w:sz w:val="24"/>
              </w:rPr>
              <w:t>G</w:t>
            </w:r>
            <w:r w:rsidR="0075101E">
              <w:rPr>
                <w:sz w:val="24"/>
              </w:rPr>
              <w:t>radiometro</w:t>
            </w:r>
            <w:proofErr w:type="spellEnd"/>
            <w:r w:rsidR="0075101E">
              <w:rPr>
                <w:sz w:val="24"/>
              </w:rPr>
              <w:t xml:space="preserve"> </w:t>
            </w:r>
            <w:proofErr w:type="spellStart"/>
            <w:r w:rsidR="0075101E">
              <w:rPr>
                <w:sz w:val="24"/>
              </w:rPr>
              <w:t>fluxgate</w:t>
            </w:r>
            <w:proofErr w:type="spellEnd"/>
            <w:r w:rsidR="0075101E">
              <w:rPr>
                <w:sz w:val="24"/>
              </w:rPr>
              <w:t xml:space="preserve"> </w:t>
            </w:r>
            <w:proofErr w:type="spellStart"/>
            <w:r w:rsidR="0075101E">
              <w:rPr>
                <w:sz w:val="24"/>
              </w:rPr>
              <w:t>Bartington</w:t>
            </w:r>
            <w:proofErr w:type="spellEnd"/>
            <w:r w:rsidR="0075101E">
              <w:rPr>
                <w:sz w:val="24"/>
              </w:rPr>
              <w:t xml:space="preserve"> 601</w:t>
            </w:r>
          </w:p>
        </w:tc>
      </w:tr>
      <w:tr w:rsidR="00B634D9" w14:paraId="06DFFDF9" w14:textId="77777777">
        <w:trPr>
          <w:trHeight w:val="2760"/>
        </w:trPr>
        <w:tc>
          <w:tcPr>
            <w:tcW w:w="9857" w:type="dxa"/>
          </w:tcPr>
          <w:p w14:paraId="21415920" w14:textId="77777777" w:rsidR="00B634D9" w:rsidRDefault="00B634D9">
            <w:pPr>
              <w:pStyle w:val="TableParagraph"/>
              <w:spacing w:before="5"/>
              <w:rPr>
                <w:sz w:val="23"/>
              </w:rPr>
            </w:pPr>
          </w:p>
          <w:p w14:paraId="6304F0DF" w14:textId="77777777" w:rsidR="00B634D9" w:rsidRDefault="00D129A6">
            <w:pPr>
              <w:pStyle w:val="TableParagraph"/>
              <w:ind w:left="107"/>
              <w:jc w:val="both"/>
              <w:rPr>
                <w:b/>
                <w:sz w:val="24"/>
              </w:rPr>
            </w:pPr>
            <w:r>
              <w:rPr>
                <w:b/>
                <w:sz w:val="24"/>
              </w:rPr>
              <w:t>INFORMAZIONI GENERALI:</w:t>
            </w:r>
          </w:p>
          <w:p w14:paraId="4F998975" w14:textId="77777777" w:rsidR="00B634D9" w:rsidRDefault="00B634D9">
            <w:pPr>
              <w:pStyle w:val="TableParagraph"/>
              <w:spacing w:before="7"/>
              <w:rPr>
                <w:sz w:val="23"/>
              </w:rPr>
            </w:pPr>
          </w:p>
          <w:p w14:paraId="6219DC34" w14:textId="77777777" w:rsidR="00B634D9" w:rsidRDefault="00245F2F" w:rsidP="00D129A6">
            <w:pPr>
              <w:pStyle w:val="TableParagraph"/>
              <w:spacing w:before="1"/>
              <w:ind w:left="107" w:right="98"/>
              <w:jc w:val="both"/>
              <w:rPr>
                <w:sz w:val="24"/>
                <w:szCs w:val="24"/>
              </w:rPr>
            </w:pPr>
            <w:r>
              <w:rPr>
                <w:sz w:val="24"/>
              </w:rPr>
              <w:t>Lo</w:t>
            </w:r>
            <w:r w:rsidR="00D129A6">
              <w:rPr>
                <w:sz w:val="24"/>
              </w:rPr>
              <w:t xml:space="preserve"> strumento </w:t>
            </w:r>
            <w:proofErr w:type="spellStart"/>
            <w:r w:rsidR="00D129A6">
              <w:rPr>
                <w:sz w:val="24"/>
              </w:rPr>
              <w:t>gradiometro</w:t>
            </w:r>
            <w:proofErr w:type="spellEnd"/>
            <w:r w:rsidR="00323562">
              <w:rPr>
                <w:sz w:val="24"/>
              </w:rPr>
              <w:t xml:space="preserve"> </w:t>
            </w:r>
            <w:r w:rsidR="00D129A6">
              <w:rPr>
                <w:sz w:val="24"/>
              </w:rPr>
              <w:t xml:space="preserve">disponibile nel MOLAB è </w:t>
            </w:r>
            <w:r w:rsidR="00323562">
              <w:rPr>
                <w:sz w:val="24"/>
              </w:rPr>
              <w:t>utilizzato</w:t>
            </w:r>
            <w:r w:rsidR="00D129A6">
              <w:rPr>
                <w:sz w:val="24"/>
              </w:rPr>
              <w:t xml:space="preserve"> per </w:t>
            </w:r>
            <w:r w:rsidR="00323562">
              <w:rPr>
                <w:sz w:val="24"/>
              </w:rPr>
              <w:t xml:space="preserve">le </w:t>
            </w:r>
            <w:r w:rsidR="00E94718">
              <w:rPr>
                <w:sz w:val="24"/>
              </w:rPr>
              <w:t>indagini in</w:t>
            </w:r>
            <w:r w:rsidR="00D129A6">
              <w:rPr>
                <w:sz w:val="24"/>
              </w:rPr>
              <w:t xml:space="preserve"> situ essendo estremamente maneggevole, veloce e completamente non invasivo. </w:t>
            </w:r>
            <w:r w:rsidR="00D129A6" w:rsidRPr="00B71791">
              <w:rPr>
                <w:sz w:val="24"/>
                <w:szCs w:val="24"/>
              </w:rPr>
              <w:t xml:space="preserve">Lo scopo di un rilievo di tipo magnetico è quello di investigare la struttura del sottosuolo sulla base delle anomalie del campo magnetico terrestre prodotte dalle differenti proprietà magnetiche dei materiali presenti nel sottosuolo. Il campo magnetico che si può misurare sulla superficie terrestre varia in modo sensibile in funzione dello spazio e del tempo. Vengono quindi misurati valori numerici riferiti ad una precisa coordinata spaziale. Senza tale riferimento, un gruppo di valori non ha alcun significato. Lo strumento viene normalmente spostato lungo linee di misura equidistanti, note come traverse, separate da una distanza fissa, </w:t>
            </w:r>
            <w:proofErr w:type="spellStart"/>
            <w:r w:rsidR="00D129A6" w:rsidRPr="00B71791">
              <w:rPr>
                <w:sz w:val="24"/>
                <w:szCs w:val="24"/>
              </w:rPr>
              <w:t>Δy</w:t>
            </w:r>
            <w:proofErr w:type="spellEnd"/>
            <w:r w:rsidR="00D129A6" w:rsidRPr="00B71791">
              <w:rPr>
                <w:sz w:val="24"/>
                <w:szCs w:val="24"/>
              </w:rPr>
              <w:t xml:space="preserve">. Il dato viene acquisito sopra tali traverse a specifici intervalli di campionamento, </w:t>
            </w:r>
            <w:proofErr w:type="spellStart"/>
            <w:r w:rsidR="00D129A6" w:rsidRPr="00B71791">
              <w:rPr>
                <w:sz w:val="24"/>
                <w:szCs w:val="24"/>
              </w:rPr>
              <w:t>Δx</w:t>
            </w:r>
            <w:proofErr w:type="spellEnd"/>
            <w:r w:rsidR="00D129A6">
              <w:rPr>
                <w:sz w:val="24"/>
                <w:szCs w:val="24"/>
              </w:rPr>
              <w:t xml:space="preserve">. </w:t>
            </w:r>
            <w:r w:rsidR="00D129A6" w:rsidRPr="00B71791">
              <w:rPr>
                <w:sz w:val="24"/>
                <w:szCs w:val="24"/>
              </w:rPr>
              <w:t xml:space="preserve">Si definisce </w:t>
            </w:r>
            <w:proofErr w:type="spellStart"/>
            <w:r w:rsidR="00D129A6" w:rsidRPr="00B71791">
              <w:rPr>
                <w:sz w:val="24"/>
                <w:szCs w:val="24"/>
              </w:rPr>
              <w:t>gradiometro</w:t>
            </w:r>
            <w:proofErr w:type="spellEnd"/>
            <w:r w:rsidR="00D129A6" w:rsidRPr="00B71791">
              <w:rPr>
                <w:sz w:val="24"/>
                <w:szCs w:val="24"/>
              </w:rPr>
              <w:t xml:space="preserve"> uno strumento mediante il quale si campiona il valore del gradiente del campo magnetico, dB/</w:t>
            </w:r>
            <w:proofErr w:type="spellStart"/>
            <w:r w:rsidR="00D129A6" w:rsidRPr="00B71791">
              <w:rPr>
                <w:sz w:val="24"/>
                <w:szCs w:val="24"/>
              </w:rPr>
              <w:t>dz</w:t>
            </w:r>
            <w:proofErr w:type="spellEnd"/>
            <w:r w:rsidR="00D129A6" w:rsidRPr="00B71791">
              <w:rPr>
                <w:sz w:val="24"/>
                <w:szCs w:val="24"/>
              </w:rPr>
              <w:t xml:space="preserve">. Il </w:t>
            </w:r>
            <w:proofErr w:type="spellStart"/>
            <w:r w:rsidR="00D129A6" w:rsidRPr="00B71791">
              <w:rPr>
                <w:sz w:val="24"/>
                <w:szCs w:val="24"/>
              </w:rPr>
              <w:t>gradiometro</w:t>
            </w:r>
            <w:proofErr w:type="spellEnd"/>
            <w:r w:rsidR="00D129A6" w:rsidRPr="00B71791">
              <w:rPr>
                <w:sz w:val="24"/>
                <w:szCs w:val="24"/>
              </w:rPr>
              <w:t xml:space="preserve"> non è altro che un magnetometro differenziale, ovvero è dotato di due sensori separati da una distanza fissa e piccola rispetto alla distanza delle sorgente di cui si vuole misurare il gradiente. Per operare in questa configurazione i due sensori devono procedere al campionamento di B simultaneamente.</w:t>
            </w:r>
          </w:p>
          <w:p w14:paraId="503B1D4D" w14:textId="15219AA0" w:rsidR="00F05820" w:rsidRDefault="00F05820" w:rsidP="00F05820">
            <w:pPr>
              <w:pStyle w:val="TableParagraph"/>
              <w:spacing w:before="1"/>
              <w:ind w:right="98"/>
              <w:jc w:val="both"/>
              <w:rPr>
                <w:sz w:val="24"/>
              </w:rPr>
            </w:pPr>
          </w:p>
        </w:tc>
      </w:tr>
      <w:tr w:rsidR="00F05820" w14:paraId="49C5C113" w14:textId="77777777">
        <w:trPr>
          <w:trHeight w:val="2760"/>
        </w:trPr>
        <w:tc>
          <w:tcPr>
            <w:tcW w:w="9857" w:type="dxa"/>
          </w:tcPr>
          <w:p w14:paraId="757E63D8" w14:textId="77777777" w:rsidR="00F05820" w:rsidRDefault="00F05820" w:rsidP="00F05820">
            <w:pPr>
              <w:pStyle w:val="TableParagraph"/>
              <w:ind w:left="107"/>
              <w:jc w:val="both"/>
              <w:rPr>
                <w:b/>
                <w:sz w:val="24"/>
              </w:rPr>
            </w:pPr>
          </w:p>
          <w:p w14:paraId="79179C1F" w14:textId="3F7E909B" w:rsidR="00F05820" w:rsidRDefault="00F05820" w:rsidP="00F05820">
            <w:pPr>
              <w:pStyle w:val="TableParagraph"/>
              <w:ind w:left="107"/>
              <w:jc w:val="both"/>
              <w:rPr>
                <w:b/>
                <w:sz w:val="24"/>
              </w:rPr>
            </w:pPr>
            <w:r>
              <w:rPr>
                <w:b/>
                <w:sz w:val="24"/>
              </w:rPr>
              <w:t>DETTAGLI TECNICI:</w:t>
            </w:r>
          </w:p>
          <w:p w14:paraId="19CD5C1B" w14:textId="77777777" w:rsidR="00F05820" w:rsidRDefault="00F05820" w:rsidP="00F05820">
            <w:pPr>
              <w:pStyle w:val="TableParagraph"/>
              <w:spacing w:before="7"/>
              <w:rPr>
                <w:sz w:val="23"/>
              </w:rPr>
            </w:pPr>
          </w:p>
          <w:p w14:paraId="7653419C" w14:textId="77777777" w:rsidR="00F05820" w:rsidRDefault="00F05820" w:rsidP="00F05820">
            <w:pPr>
              <w:pStyle w:val="TableParagraph"/>
              <w:ind w:left="107" w:right="95"/>
              <w:jc w:val="both"/>
              <w:rPr>
                <w:sz w:val="24"/>
              </w:rPr>
            </w:pPr>
            <w:r>
              <w:rPr>
                <w:sz w:val="24"/>
              </w:rPr>
              <w:t xml:space="preserve">Lo strumento </w:t>
            </w:r>
            <w:proofErr w:type="spellStart"/>
            <w:r>
              <w:rPr>
                <w:sz w:val="24"/>
              </w:rPr>
              <w:t>gradiometro</w:t>
            </w:r>
            <w:proofErr w:type="spellEnd"/>
            <w:r>
              <w:rPr>
                <w:sz w:val="24"/>
              </w:rPr>
              <w:t xml:space="preserve"> </w:t>
            </w:r>
            <w:proofErr w:type="spellStart"/>
            <w:r>
              <w:rPr>
                <w:sz w:val="24"/>
              </w:rPr>
              <w:t>fluxgate</w:t>
            </w:r>
            <w:proofErr w:type="spellEnd"/>
            <w:r>
              <w:rPr>
                <w:sz w:val="24"/>
              </w:rPr>
              <w:t xml:space="preserve"> portatile è il </w:t>
            </w:r>
            <w:proofErr w:type="spellStart"/>
            <w:r>
              <w:rPr>
                <w:sz w:val="24"/>
              </w:rPr>
              <w:t>Bartington</w:t>
            </w:r>
            <w:proofErr w:type="spellEnd"/>
            <w:r>
              <w:rPr>
                <w:sz w:val="24"/>
              </w:rPr>
              <w:t xml:space="preserve"> 601 dotato di 4 sensori </w:t>
            </w:r>
            <w:proofErr w:type="spellStart"/>
            <w:r>
              <w:rPr>
                <w:sz w:val="24"/>
              </w:rPr>
              <w:t>fluxgate</w:t>
            </w:r>
            <w:proofErr w:type="spellEnd"/>
            <w:r>
              <w:rPr>
                <w:sz w:val="24"/>
              </w:rPr>
              <w:t xml:space="preserve"> che consentono di acquisire il gradiente magnetico contemporaneamente su due linee distanziate di un metro. </w:t>
            </w:r>
          </w:p>
          <w:p w14:paraId="7308FAA6" w14:textId="77777777" w:rsidR="00F05820" w:rsidRDefault="00F05820" w:rsidP="00F05820">
            <w:pPr>
              <w:pStyle w:val="TableParagraph"/>
              <w:spacing w:before="9"/>
              <w:rPr>
                <w:sz w:val="27"/>
              </w:rPr>
            </w:pPr>
            <w:r>
              <w:rPr>
                <w:noProof/>
              </w:rPr>
              <w:drawing>
                <wp:inline distT="0" distB="0" distL="0" distR="0" wp14:anchorId="4D829820" wp14:editId="2612EF99">
                  <wp:extent cx="2714625" cy="2910843"/>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9651" t="27260" r="24284" b="23049"/>
                          <a:stretch/>
                        </pic:blipFill>
                        <pic:spPr bwMode="auto">
                          <a:xfrm>
                            <a:off x="0" y="0"/>
                            <a:ext cx="2718965" cy="2915497"/>
                          </a:xfrm>
                          <a:prstGeom prst="rect">
                            <a:avLst/>
                          </a:prstGeom>
                          <a:ln>
                            <a:noFill/>
                          </a:ln>
                          <a:extLst>
                            <a:ext uri="{53640926-AAD7-44D8-BBD7-CCE9431645EC}">
                              <a14:shadowObscured xmlns:a14="http://schemas.microsoft.com/office/drawing/2010/main"/>
                            </a:ext>
                          </a:extLst>
                        </pic:spPr>
                      </pic:pic>
                    </a:graphicData>
                  </a:graphic>
                </wp:inline>
              </w:drawing>
            </w:r>
          </w:p>
          <w:p w14:paraId="3A84B19C" w14:textId="77777777" w:rsidR="00F05820" w:rsidRDefault="00F05820" w:rsidP="00F05820">
            <w:pPr>
              <w:pStyle w:val="TableParagraph"/>
              <w:ind w:left="99"/>
              <w:rPr>
                <w:sz w:val="20"/>
              </w:rPr>
            </w:pPr>
            <w:r>
              <w:rPr>
                <w:spacing w:val="6"/>
                <w:position w:val="118"/>
                <w:sz w:val="20"/>
              </w:rPr>
              <w:t xml:space="preserve"> </w:t>
            </w:r>
          </w:p>
          <w:p w14:paraId="2341954D" w14:textId="77777777" w:rsidR="00F05820" w:rsidRDefault="00F05820" w:rsidP="00F05820">
            <w:pPr>
              <w:pStyle w:val="TableParagraph"/>
              <w:spacing w:before="5"/>
              <w:ind w:left="164"/>
              <w:rPr>
                <w:sz w:val="24"/>
              </w:rPr>
            </w:pPr>
            <w:r>
              <w:rPr>
                <w:sz w:val="24"/>
              </w:rPr>
              <w:t xml:space="preserve">Figura: sistema </w:t>
            </w:r>
            <w:proofErr w:type="spellStart"/>
            <w:r>
              <w:rPr>
                <w:sz w:val="24"/>
              </w:rPr>
              <w:t>gradiometro</w:t>
            </w:r>
            <w:proofErr w:type="spellEnd"/>
            <w:r>
              <w:rPr>
                <w:sz w:val="24"/>
              </w:rPr>
              <w:t xml:space="preserve"> </w:t>
            </w:r>
            <w:proofErr w:type="spellStart"/>
            <w:r>
              <w:rPr>
                <w:sz w:val="24"/>
              </w:rPr>
              <w:t>fluxgate</w:t>
            </w:r>
            <w:proofErr w:type="spellEnd"/>
            <w:r>
              <w:rPr>
                <w:sz w:val="24"/>
              </w:rPr>
              <w:t xml:space="preserve"> con </w:t>
            </w:r>
            <w:proofErr w:type="spellStart"/>
            <w:r>
              <w:rPr>
                <w:sz w:val="24"/>
              </w:rPr>
              <w:t>esempio</w:t>
            </w:r>
            <w:proofErr w:type="spellEnd"/>
            <w:r>
              <w:rPr>
                <w:sz w:val="24"/>
              </w:rPr>
              <w:t xml:space="preserve"> di risultato.</w:t>
            </w:r>
          </w:p>
          <w:p w14:paraId="3A618205" w14:textId="0CC957FF" w:rsidR="00F05820" w:rsidRDefault="00F05820" w:rsidP="00F05820">
            <w:pPr>
              <w:pStyle w:val="TableParagraph"/>
              <w:spacing w:before="5"/>
              <w:rPr>
                <w:sz w:val="23"/>
              </w:rPr>
            </w:pPr>
          </w:p>
        </w:tc>
      </w:tr>
      <w:tr w:rsidR="00F05820" w14:paraId="1A6C6297" w14:textId="77777777">
        <w:trPr>
          <w:trHeight w:val="2760"/>
        </w:trPr>
        <w:tc>
          <w:tcPr>
            <w:tcW w:w="9857" w:type="dxa"/>
          </w:tcPr>
          <w:p w14:paraId="4B0F0BB4" w14:textId="77777777" w:rsidR="00F05820" w:rsidRDefault="00F05820" w:rsidP="00F05820">
            <w:pPr>
              <w:pStyle w:val="BodyText"/>
              <w:spacing w:before="11"/>
              <w:rPr>
                <w:sz w:val="23"/>
              </w:rPr>
            </w:pPr>
          </w:p>
          <w:p w14:paraId="1B40D1DC" w14:textId="10C1B724" w:rsidR="00F05820" w:rsidRDefault="00F05820" w:rsidP="00F05820">
            <w:pPr>
              <w:spacing w:line="275" w:lineRule="exact"/>
              <w:ind w:left="103"/>
              <w:rPr>
                <w:b/>
                <w:sz w:val="24"/>
                <w:szCs w:val="24"/>
              </w:rPr>
            </w:pPr>
            <w:r w:rsidRPr="00F05820">
              <w:rPr>
                <w:b/>
                <w:sz w:val="24"/>
                <w:szCs w:val="24"/>
              </w:rPr>
              <w:t>MAGGIORI INFORMAZIONI:</w:t>
            </w:r>
          </w:p>
          <w:p w14:paraId="729BA622" w14:textId="77777777" w:rsidR="00F05820" w:rsidRPr="00F05820" w:rsidRDefault="00F05820" w:rsidP="00F05820">
            <w:pPr>
              <w:spacing w:line="275" w:lineRule="exact"/>
              <w:ind w:left="103"/>
              <w:rPr>
                <w:b/>
                <w:sz w:val="24"/>
                <w:szCs w:val="24"/>
              </w:rPr>
            </w:pPr>
          </w:p>
          <w:p w14:paraId="20BF93C1" w14:textId="6AA63BED" w:rsidR="00F05820" w:rsidRPr="00F05820" w:rsidRDefault="00F05820" w:rsidP="00F05820">
            <w:pPr>
              <w:widowControl/>
              <w:numPr>
                <w:ilvl w:val="0"/>
                <w:numId w:val="3"/>
              </w:numPr>
              <w:autoSpaceDE/>
              <w:autoSpaceDN/>
              <w:spacing w:after="200"/>
              <w:ind w:left="447" w:hanging="283"/>
              <w:jc w:val="both"/>
              <w:rPr>
                <w:rFonts w:eastAsia="Verdana-Italic"/>
                <w:iCs/>
                <w:sz w:val="24"/>
                <w:szCs w:val="24"/>
              </w:rPr>
            </w:pPr>
            <w:proofErr w:type="spellStart"/>
            <w:r w:rsidRPr="00F05820">
              <w:rPr>
                <w:rFonts w:eastAsia="Verdana-Italic"/>
                <w:iCs/>
                <w:sz w:val="24"/>
                <w:szCs w:val="24"/>
              </w:rPr>
              <w:t>Leucci</w:t>
            </w:r>
            <w:proofErr w:type="spellEnd"/>
            <w:r w:rsidRPr="00F05820">
              <w:rPr>
                <w:rFonts w:eastAsia="Verdana-Italic"/>
                <w:iCs/>
                <w:sz w:val="24"/>
                <w:szCs w:val="24"/>
              </w:rPr>
              <w:t xml:space="preserve"> G., 2007, Ground </w:t>
            </w:r>
            <w:proofErr w:type="spellStart"/>
            <w:r w:rsidRPr="00F05820">
              <w:rPr>
                <w:rFonts w:eastAsia="Verdana-Italic"/>
                <w:iCs/>
                <w:sz w:val="24"/>
                <w:szCs w:val="24"/>
              </w:rPr>
              <w:t>Penetrating</w:t>
            </w:r>
            <w:proofErr w:type="spellEnd"/>
            <w:r w:rsidRPr="00F05820">
              <w:rPr>
                <w:rFonts w:eastAsia="Verdana-Italic"/>
                <w:iCs/>
                <w:sz w:val="24"/>
                <w:szCs w:val="24"/>
              </w:rPr>
              <w:t xml:space="preserve"> Radar: </w:t>
            </w:r>
            <w:r w:rsidR="0012424B" w:rsidRPr="00F05820">
              <w:rPr>
                <w:rFonts w:eastAsia="Verdana-Italic"/>
                <w:iCs/>
                <w:sz w:val="24"/>
                <w:szCs w:val="24"/>
              </w:rPr>
              <w:t>Un’introduzione</w:t>
            </w:r>
            <w:r w:rsidRPr="00F05820">
              <w:rPr>
                <w:rFonts w:eastAsia="Verdana-Italic"/>
                <w:iCs/>
                <w:sz w:val="24"/>
                <w:szCs w:val="24"/>
              </w:rPr>
              <w:t xml:space="preserve"> per gli Archeologi; Aracne Editrice, Roma; ISBN: 978-88-548-0951-2.</w:t>
            </w:r>
          </w:p>
          <w:p w14:paraId="70941ABE" w14:textId="77777777" w:rsidR="00F05820" w:rsidRPr="00F05820" w:rsidRDefault="00F05820" w:rsidP="00F05820">
            <w:pPr>
              <w:widowControl/>
              <w:numPr>
                <w:ilvl w:val="0"/>
                <w:numId w:val="3"/>
              </w:numPr>
              <w:autoSpaceDE/>
              <w:autoSpaceDN/>
              <w:spacing w:after="200"/>
              <w:ind w:left="447" w:hanging="283"/>
              <w:jc w:val="both"/>
              <w:rPr>
                <w:rFonts w:eastAsia="Verdana-Italic"/>
                <w:iCs/>
                <w:sz w:val="24"/>
                <w:szCs w:val="24"/>
              </w:rPr>
            </w:pPr>
            <w:proofErr w:type="spellStart"/>
            <w:r w:rsidRPr="00F05820">
              <w:rPr>
                <w:rFonts w:eastAsia="Verdana-Italic"/>
                <w:iCs/>
                <w:sz w:val="24"/>
                <w:szCs w:val="24"/>
              </w:rPr>
              <w:t>Leucci</w:t>
            </w:r>
            <w:proofErr w:type="spellEnd"/>
            <w:r w:rsidRPr="00F05820">
              <w:rPr>
                <w:rFonts w:eastAsia="Verdana-Italic"/>
                <w:iCs/>
                <w:sz w:val="24"/>
                <w:szCs w:val="24"/>
              </w:rPr>
              <w:t xml:space="preserve"> G., 2015, Geofisica Applicata all’Archeologia e ai Beni Monumentali. Dario Flaccovio Editore, Palermo, pp. 368. ISBN: 9788857905068</w:t>
            </w:r>
          </w:p>
          <w:p w14:paraId="7CD2DDBC" w14:textId="77777777" w:rsidR="00F05820" w:rsidRPr="00F05820" w:rsidRDefault="00F05820" w:rsidP="00F05820">
            <w:pPr>
              <w:widowControl/>
              <w:numPr>
                <w:ilvl w:val="0"/>
                <w:numId w:val="3"/>
              </w:numPr>
              <w:autoSpaceDE/>
              <w:autoSpaceDN/>
              <w:spacing w:after="200"/>
              <w:ind w:left="447" w:hanging="283"/>
              <w:jc w:val="both"/>
              <w:rPr>
                <w:rFonts w:eastAsia="Verdana-Italic"/>
                <w:iCs/>
                <w:sz w:val="24"/>
                <w:szCs w:val="24"/>
                <w:lang w:val="en-US"/>
              </w:rPr>
            </w:pPr>
            <w:proofErr w:type="spellStart"/>
            <w:r w:rsidRPr="00F05820">
              <w:rPr>
                <w:rFonts w:eastAsia="Verdana-Italic"/>
                <w:iCs/>
                <w:sz w:val="24"/>
                <w:szCs w:val="24"/>
                <w:lang w:val="en-US"/>
              </w:rPr>
              <w:t>Leucci</w:t>
            </w:r>
            <w:proofErr w:type="spellEnd"/>
            <w:r w:rsidRPr="00F05820">
              <w:rPr>
                <w:rFonts w:eastAsia="Verdana-Italic"/>
                <w:iCs/>
                <w:sz w:val="24"/>
                <w:szCs w:val="24"/>
                <w:lang w:val="en-US"/>
              </w:rPr>
              <w:t xml:space="preserve"> G., 2019, Nondestructive Testing for Archaeology and Cultural Heritage: A practical guide and new perspective. Springer </w:t>
            </w:r>
            <w:proofErr w:type="spellStart"/>
            <w:r w:rsidRPr="00F05820">
              <w:rPr>
                <w:rFonts w:eastAsia="Verdana-Italic"/>
                <w:iCs/>
                <w:sz w:val="24"/>
                <w:szCs w:val="24"/>
                <w:lang w:val="en-US"/>
              </w:rPr>
              <w:t>editore</w:t>
            </w:r>
            <w:proofErr w:type="spellEnd"/>
            <w:r w:rsidRPr="00F05820">
              <w:rPr>
                <w:rFonts w:eastAsia="Verdana-Italic"/>
                <w:iCs/>
                <w:sz w:val="24"/>
                <w:szCs w:val="24"/>
                <w:lang w:val="en-US"/>
              </w:rPr>
              <w:t xml:space="preserve"> pp 217, ISBN 978-3-030-01898-6</w:t>
            </w:r>
          </w:p>
          <w:p w14:paraId="40917919" w14:textId="77777777" w:rsidR="00F05820" w:rsidRPr="00F05820" w:rsidRDefault="00F05820" w:rsidP="00F05820">
            <w:pPr>
              <w:pStyle w:val="ListParagraph"/>
              <w:numPr>
                <w:ilvl w:val="0"/>
                <w:numId w:val="3"/>
              </w:numPr>
              <w:suppressAutoHyphens/>
              <w:adjustRightInd w:val="0"/>
              <w:ind w:left="447" w:hanging="283"/>
              <w:jc w:val="both"/>
              <w:rPr>
                <w:rFonts w:eastAsia="Verdana-Italic"/>
                <w:iCs/>
                <w:sz w:val="24"/>
                <w:szCs w:val="24"/>
                <w:lang w:val="en-US"/>
              </w:rPr>
            </w:pPr>
            <w:proofErr w:type="spellStart"/>
            <w:r w:rsidRPr="00F05820">
              <w:rPr>
                <w:rFonts w:eastAsia="Verdana-Italic"/>
                <w:iCs/>
                <w:sz w:val="24"/>
                <w:szCs w:val="24"/>
                <w:lang w:val="en-US"/>
              </w:rPr>
              <w:t>Leucci</w:t>
            </w:r>
            <w:proofErr w:type="spellEnd"/>
            <w:r w:rsidRPr="00F05820">
              <w:rPr>
                <w:rFonts w:eastAsia="Verdana-Italic"/>
                <w:iCs/>
                <w:sz w:val="24"/>
                <w:szCs w:val="24"/>
                <w:lang w:val="en-US"/>
              </w:rPr>
              <w:t xml:space="preserve"> G., 2020, Advances in Geophysical Methods Applied to Forensic Investigations: New Developments in Acquisition and Data Analysis Methodologies. Springer </w:t>
            </w:r>
            <w:proofErr w:type="spellStart"/>
            <w:r w:rsidRPr="00F05820">
              <w:rPr>
                <w:rFonts w:eastAsia="Verdana-Italic"/>
                <w:iCs/>
                <w:sz w:val="24"/>
                <w:szCs w:val="24"/>
                <w:lang w:val="en-US"/>
              </w:rPr>
              <w:t>editore</w:t>
            </w:r>
            <w:proofErr w:type="spellEnd"/>
            <w:r w:rsidRPr="00F05820">
              <w:rPr>
                <w:rFonts w:eastAsia="Verdana-Italic"/>
                <w:iCs/>
                <w:sz w:val="24"/>
                <w:szCs w:val="24"/>
                <w:lang w:val="en-US"/>
              </w:rPr>
              <w:t>, pp 200, ISBN 978-3-030-46241-3</w:t>
            </w:r>
          </w:p>
          <w:p w14:paraId="4D6E457B" w14:textId="77777777" w:rsidR="00F05820" w:rsidRDefault="00F05820" w:rsidP="00F05820">
            <w:pPr>
              <w:pStyle w:val="TableParagraph"/>
              <w:ind w:left="107"/>
              <w:jc w:val="both"/>
              <w:rPr>
                <w:b/>
                <w:sz w:val="24"/>
              </w:rPr>
            </w:pPr>
          </w:p>
        </w:tc>
      </w:tr>
    </w:tbl>
    <w:p w14:paraId="59E475C5" w14:textId="77777777" w:rsidR="00F05820" w:rsidRDefault="00F05820">
      <w:pPr>
        <w:spacing w:before="57"/>
        <w:ind w:left="212"/>
        <w:rPr>
          <w:rFonts w:ascii="Calibri"/>
        </w:rPr>
      </w:pPr>
    </w:p>
    <w:p w14:paraId="0CEAE6C0" w14:textId="32EA1997" w:rsidR="00B634D9" w:rsidRPr="00F05820" w:rsidRDefault="00D129A6">
      <w:pPr>
        <w:spacing w:before="57"/>
        <w:ind w:left="212"/>
      </w:pPr>
      <w:r w:rsidRPr="00F05820">
        <w:t xml:space="preserve">Referente: </w:t>
      </w:r>
      <w:r w:rsidR="00325A66" w:rsidRPr="00F05820">
        <w:t>Giovanni Leucci</w:t>
      </w:r>
      <w:r w:rsidRPr="00F05820">
        <w:t xml:space="preserve"> (</w:t>
      </w:r>
      <w:r w:rsidR="00325A66" w:rsidRPr="00F05820">
        <w:t>giovanni.leucci</w:t>
      </w:r>
      <w:r w:rsidRPr="00F05820">
        <w:t>@cnr.it)</w:t>
      </w:r>
    </w:p>
    <w:sectPr w:rsidR="00B634D9" w:rsidRPr="00F05820">
      <w:pgSz w:w="11910" w:h="16840"/>
      <w:pgMar w:top="14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E6C29"/>
    <w:multiLevelType w:val="hybridMultilevel"/>
    <w:tmpl w:val="E586E9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405F13"/>
    <w:multiLevelType w:val="hybridMultilevel"/>
    <w:tmpl w:val="2CF635A6"/>
    <w:lvl w:ilvl="0" w:tplc="0809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511DC2"/>
    <w:multiLevelType w:val="hybridMultilevel"/>
    <w:tmpl w:val="C0DAEFC8"/>
    <w:lvl w:ilvl="0" w:tplc="67220E7C">
      <w:numFmt w:val="bullet"/>
      <w:lvlText w:val=""/>
      <w:lvlJc w:val="left"/>
      <w:pPr>
        <w:ind w:left="823" w:hanging="360"/>
      </w:pPr>
      <w:rPr>
        <w:rFonts w:ascii="Symbol" w:eastAsia="Symbol" w:hAnsi="Symbol" w:cs="Symbol" w:hint="default"/>
        <w:w w:val="100"/>
        <w:sz w:val="24"/>
        <w:szCs w:val="24"/>
        <w:lang w:val="it-IT" w:eastAsia="it-IT" w:bidi="it-IT"/>
      </w:rPr>
    </w:lvl>
    <w:lvl w:ilvl="1" w:tplc="02864836">
      <w:numFmt w:val="bullet"/>
      <w:lvlText w:val="•"/>
      <w:lvlJc w:val="left"/>
      <w:pPr>
        <w:ind w:left="1722" w:hanging="360"/>
      </w:pPr>
      <w:rPr>
        <w:rFonts w:hint="default"/>
        <w:lang w:val="it-IT" w:eastAsia="it-IT" w:bidi="it-IT"/>
      </w:rPr>
    </w:lvl>
    <w:lvl w:ilvl="2" w:tplc="C3E24E14">
      <w:numFmt w:val="bullet"/>
      <w:lvlText w:val="•"/>
      <w:lvlJc w:val="left"/>
      <w:pPr>
        <w:ind w:left="2625" w:hanging="360"/>
      </w:pPr>
      <w:rPr>
        <w:rFonts w:hint="default"/>
        <w:lang w:val="it-IT" w:eastAsia="it-IT" w:bidi="it-IT"/>
      </w:rPr>
    </w:lvl>
    <w:lvl w:ilvl="3" w:tplc="D63088EE">
      <w:numFmt w:val="bullet"/>
      <w:lvlText w:val="•"/>
      <w:lvlJc w:val="left"/>
      <w:pPr>
        <w:ind w:left="3528" w:hanging="360"/>
      </w:pPr>
      <w:rPr>
        <w:rFonts w:hint="default"/>
        <w:lang w:val="it-IT" w:eastAsia="it-IT" w:bidi="it-IT"/>
      </w:rPr>
    </w:lvl>
    <w:lvl w:ilvl="4" w:tplc="8D34A9BA">
      <w:numFmt w:val="bullet"/>
      <w:lvlText w:val="•"/>
      <w:lvlJc w:val="left"/>
      <w:pPr>
        <w:ind w:left="4430" w:hanging="360"/>
      </w:pPr>
      <w:rPr>
        <w:rFonts w:hint="default"/>
        <w:lang w:val="it-IT" w:eastAsia="it-IT" w:bidi="it-IT"/>
      </w:rPr>
    </w:lvl>
    <w:lvl w:ilvl="5" w:tplc="EE141B1E">
      <w:numFmt w:val="bullet"/>
      <w:lvlText w:val="•"/>
      <w:lvlJc w:val="left"/>
      <w:pPr>
        <w:ind w:left="5333" w:hanging="360"/>
      </w:pPr>
      <w:rPr>
        <w:rFonts w:hint="default"/>
        <w:lang w:val="it-IT" w:eastAsia="it-IT" w:bidi="it-IT"/>
      </w:rPr>
    </w:lvl>
    <w:lvl w:ilvl="6" w:tplc="A63861BC">
      <w:numFmt w:val="bullet"/>
      <w:lvlText w:val="•"/>
      <w:lvlJc w:val="left"/>
      <w:pPr>
        <w:ind w:left="6236" w:hanging="360"/>
      </w:pPr>
      <w:rPr>
        <w:rFonts w:hint="default"/>
        <w:lang w:val="it-IT" w:eastAsia="it-IT" w:bidi="it-IT"/>
      </w:rPr>
    </w:lvl>
    <w:lvl w:ilvl="7" w:tplc="C7A834C2">
      <w:numFmt w:val="bullet"/>
      <w:lvlText w:val="•"/>
      <w:lvlJc w:val="left"/>
      <w:pPr>
        <w:ind w:left="7139" w:hanging="360"/>
      </w:pPr>
      <w:rPr>
        <w:rFonts w:hint="default"/>
        <w:lang w:val="it-IT" w:eastAsia="it-IT" w:bidi="it-IT"/>
      </w:rPr>
    </w:lvl>
    <w:lvl w:ilvl="8" w:tplc="68749CD0">
      <w:numFmt w:val="bullet"/>
      <w:lvlText w:val="•"/>
      <w:lvlJc w:val="left"/>
      <w:pPr>
        <w:ind w:left="8041" w:hanging="360"/>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NzQztDQ0MDAxNDNS0lEKTi0uzszPAykwqgUAYjEXFSwAAAA="/>
  </w:docVars>
  <w:rsids>
    <w:rsidRoot w:val="00B634D9"/>
    <w:rsid w:val="0012424B"/>
    <w:rsid w:val="00245F2F"/>
    <w:rsid w:val="00323562"/>
    <w:rsid w:val="00325A66"/>
    <w:rsid w:val="003F23D7"/>
    <w:rsid w:val="003F4A64"/>
    <w:rsid w:val="0075101E"/>
    <w:rsid w:val="00A00F21"/>
    <w:rsid w:val="00B634D9"/>
    <w:rsid w:val="00D129A6"/>
    <w:rsid w:val="00E94718"/>
    <w:rsid w:val="00F05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41C2"/>
  <w15:docId w15:val="{1F9B2B95-76C5-43FD-8D1E-5E33CF39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369</Words>
  <Characters>2105</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David Buti</cp:lastModifiedBy>
  <cp:revision>8</cp:revision>
  <dcterms:created xsi:type="dcterms:W3CDTF">2020-10-13T15:33:00Z</dcterms:created>
  <dcterms:modified xsi:type="dcterms:W3CDTF">2020-10-14T08:45:00Z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Microsoft® Office Word 2007</vt:lpwstr>
  </property>
  <property fmtid="{D5CDD505-2E9C-101B-9397-08002B2CF9AE}" pid="4" name="LastSaved">
    <vt:filetime>2020-10-13T00:00:00Z</vt:filetime>
  </property>
</Properties>
</file>