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7"/>
      </w:tblGrid>
      <w:tr w:rsidR="00B634D9" w14:paraId="39ED57FB" w14:textId="77777777" w:rsidTr="00CD6981">
        <w:trPr>
          <w:trHeight w:val="563"/>
        </w:trPr>
        <w:tc>
          <w:tcPr>
            <w:tcW w:w="9857" w:type="dxa"/>
            <w:vAlign w:val="center"/>
          </w:tcPr>
          <w:p w14:paraId="517CC062" w14:textId="77777777" w:rsidR="00B634D9" w:rsidRDefault="00325A66" w:rsidP="00CD6981">
            <w:pPr>
              <w:pStyle w:val="TableParagraph"/>
              <w:spacing w:line="273" w:lineRule="exact"/>
              <w:ind w:left="2358" w:right="2353"/>
              <w:jc w:val="center"/>
              <w:rPr>
                <w:b/>
                <w:sz w:val="24"/>
              </w:rPr>
            </w:pPr>
            <w:r>
              <w:rPr>
                <w:b/>
                <w:sz w:val="24"/>
              </w:rPr>
              <w:t>STRUMENTAZIONE MOLAB: DESCRIZIONE</w:t>
            </w:r>
          </w:p>
        </w:tc>
      </w:tr>
      <w:tr w:rsidR="00B634D9" w14:paraId="15795AAF" w14:textId="77777777">
        <w:trPr>
          <w:trHeight w:val="275"/>
        </w:trPr>
        <w:tc>
          <w:tcPr>
            <w:tcW w:w="9857" w:type="dxa"/>
          </w:tcPr>
          <w:p w14:paraId="615503A2" w14:textId="77777777" w:rsidR="00B634D9" w:rsidRDefault="00325A66" w:rsidP="00323562">
            <w:pPr>
              <w:pStyle w:val="TableParagraph"/>
              <w:spacing w:line="256" w:lineRule="exact"/>
              <w:ind w:left="2358" w:right="2351"/>
              <w:jc w:val="center"/>
              <w:rPr>
                <w:b/>
                <w:sz w:val="24"/>
              </w:rPr>
            </w:pPr>
            <w:r>
              <w:rPr>
                <w:b/>
                <w:sz w:val="24"/>
              </w:rPr>
              <w:t>LABORATORIO: CNR-IS</w:t>
            </w:r>
            <w:r w:rsidR="00323562">
              <w:rPr>
                <w:b/>
                <w:sz w:val="24"/>
              </w:rPr>
              <w:t>PC</w:t>
            </w:r>
          </w:p>
        </w:tc>
      </w:tr>
      <w:tr w:rsidR="00B634D9" w:rsidRPr="000037BF" w14:paraId="21548D2E" w14:textId="77777777">
        <w:trPr>
          <w:trHeight w:val="1379"/>
        </w:trPr>
        <w:tc>
          <w:tcPr>
            <w:tcW w:w="9857" w:type="dxa"/>
          </w:tcPr>
          <w:p w14:paraId="6B98B693" w14:textId="77777777" w:rsidR="00B634D9" w:rsidRDefault="00B634D9" w:rsidP="000037BF">
            <w:pPr>
              <w:pStyle w:val="TableParagraph"/>
              <w:spacing w:before="5"/>
              <w:ind w:left="164"/>
              <w:rPr>
                <w:sz w:val="23"/>
              </w:rPr>
            </w:pPr>
          </w:p>
          <w:p w14:paraId="5CA11EC9" w14:textId="77777777" w:rsidR="00B634D9" w:rsidRDefault="00325A66" w:rsidP="000037BF">
            <w:pPr>
              <w:pStyle w:val="TableParagraph"/>
              <w:ind w:left="164"/>
              <w:rPr>
                <w:b/>
                <w:sz w:val="24"/>
              </w:rPr>
            </w:pPr>
            <w:r>
              <w:rPr>
                <w:b/>
                <w:sz w:val="24"/>
              </w:rPr>
              <w:t>NOME STRUMENTO</w:t>
            </w:r>
          </w:p>
          <w:p w14:paraId="2C26E8C0" w14:textId="77777777" w:rsidR="00B634D9" w:rsidRDefault="00B634D9" w:rsidP="000037BF">
            <w:pPr>
              <w:pStyle w:val="TableParagraph"/>
              <w:spacing w:before="7"/>
              <w:ind w:left="164"/>
              <w:rPr>
                <w:sz w:val="23"/>
              </w:rPr>
            </w:pPr>
          </w:p>
          <w:p w14:paraId="6BBBDE85" w14:textId="23214341" w:rsidR="00B634D9" w:rsidRPr="000037BF" w:rsidRDefault="00323562" w:rsidP="000037BF">
            <w:pPr>
              <w:pStyle w:val="TableParagraph"/>
              <w:ind w:left="164"/>
              <w:rPr>
                <w:sz w:val="24"/>
                <w:lang w:val="da-DK"/>
              </w:rPr>
            </w:pPr>
            <w:r w:rsidRPr="000037BF">
              <w:rPr>
                <w:sz w:val="24"/>
                <w:lang w:val="da-DK"/>
              </w:rPr>
              <w:t>Georadar Ris Hi-Mod</w:t>
            </w:r>
            <w:r w:rsidR="000037BF" w:rsidRPr="000037BF">
              <w:rPr>
                <w:sz w:val="24"/>
                <w:lang w:val="da-DK"/>
              </w:rPr>
              <w:t xml:space="preserve">, </w:t>
            </w:r>
            <w:r w:rsidR="000037BF" w:rsidRPr="000037BF">
              <w:rPr>
                <w:sz w:val="23"/>
                <w:lang w:val="da-DK"/>
              </w:rPr>
              <w:t>IDS System</w:t>
            </w:r>
          </w:p>
        </w:tc>
      </w:tr>
      <w:tr w:rsidR="00B634D9" w14:paraId="5C9C5AAC" w14:textId="77777777">
        <w:trPr>
          <w:trHeight w:val="2760"/>
        </w:trPr>
        <w:tc>
          <w:tcPr>
            <w:tcW w:w="9857" w:type="dxa"/>
          </w:tcPr>
          <w:p w14:paraId="43B8D0BD" w14:textId="77777777" w:rsidR="00B634D9" w:rsidRPr="000037BF" w:rsidRDefault="00B634D9" w:rsidP="000037BF">
            <w:pPr>
              <w:pStyle w:val="TableParagraph"/>
              <w:spacing w:before="5"/>
              <w:ind w:left="164" w:right="180"/>
              <w:rPr>
                <w:sz w:val="23"/>
                <w:lang w:val="da-DK"/>
              </w:rPr>
            </w:pPr>
          </w:p>
          <w:p w14:paraId="242CB0E3" w14:textId="77777777" w:rsidR="00B634D9" w:rsidRDefault="00325A66" w:rsidP="000037BF">
            <w:pPr>
              <w:pStyle w:val="TableParagraph"/>
              <w:ind w:left="164" w:right="180"/>
              <w:jc w:val="both"/>
              <w:rPr>
                <w:b/>
                <w:sz w:val="24"/>
              </w:rPr>
            </w:pPr>
            <w:r>
              <w:rPr>
                <w:b/>
                <w:sz w:val="24"/>
              </w:rPr>
              <w:t>INFORMAZIONI GENERALI:</w:t>
            </w:r>
          </w:p>
          <w:p w14:paraId="618AC037" w14:textId="77777777" w:rsidR="00B634D9" w:rsidRDefault="00B634D9" w:rsidP="000037BF">
            <w:pPr>
              <w:pStyle w:val="TableParagraph"/>
              <w:spacing w:before="7"/>
              <w:ind w:left="164" w:right="180"/>
              <w:rPr>
                <w:sz w:val="23"/>
              </w:rPr>
            </w:pPr>
          </w:p>
          <w:p w14:paraId="47F8BF70" w14:textId="77777777" w:rsidR="00B634D9" w:rsidRDefault="00245F2F" w:rsidP="000037BF">
            <w:pPr>
              <w:pStyle w:val="TableParagraph"/>
              <w:spacing w:before="1"/>
              <w:ind w:left="164" w:right="180"/>
              <w:jc w:val="both"/>
            </w:pPr>
            <w:r>
              <w:rPr>
                <w:sz w:val="24"/>
              </w:rPr>
              <w:t>Lo</w:t>
            </w:r>
            <w:r w:rsidR="00325A66">
              <w:rPr>
                <w:sz w:val="24"/>
              </w:rPr>
              <w:t xml:space="preserve"> strumento </w:t>
            </w:r>
            <w:r>
              <w:rPr>
                <w:sz w:val="24"/>
              </w:rPr>
              <w:t>georadar</w:t>
            </w:r>
            <w:r w:rsidR="00323562">
              <w:rPr>
                <w:sz w:val="24"/>
              </w:rPr>
              <w:t xml:space="preserve"> </w:t>
            </w:r>
            <w:r w:rsidR="00325A66">
              <w:rPr>
                <w:sz w:val="24"/>
              </w:rPr>
              <w:t xml:space="preserve">disponibile nel MOLAB è </w:t>
            </w:r>
            <w:r w:rsidR="00323562">
              <w:rPr>
                <w:sz w:val="24"/>
              </w:rPr>
              <w:t>utilizzato</w:t>
            </w:r>
            <w:r w:rsidR="00325A66">
              <w:rPr>
                <w:sz w:val="24"/>
              </w:rPr>
              <w:t xml:space="preserve"> per </w:t>
            </w:r>
            <w:r w:rsidR="00323562">
              <w:rPr>
                <w:sz w:val="24"/>
              </w:rPr>
              <w:t xml:space="preserve">le </w:t>
            </w:r>
            <w:r w:rsidR="00CD6981">
              <w:rPr>
                <w:sz w:val="24"/>
              </w:rPr>
              <w:t>indagini in</w:t>
            </w:r>
            <w:r w:rsidR="00325A66">
              <w:rPr>
                <w:sz w:val="24"/>
              </w:rPr>
              <w:t xml:space="preserve"> situ essendo estremamente maneggevole, veloce e completamente non invasivo. </w:t>
            </w:r>
            <w:r w:rsidRPr="00EB0D70">
              <w:t xml:space="preserve">Il metodo </w:t>
            </w:r>
            <w:r>
              <w:t xml:space="preserve">georadar (conosciuto anche con il nome anglosassone Ground </w:t>
            </w:r>
            <w:proofErr w:type="spellStart"/>
            <w:r>
              <w:t>Penetrating</w:t>
            </w:r>
            <w:proofErr w:type="spellEnd"/>
            <w:r>
              <w:t xml:space="preserve"> Radar – GPR)</w:t>
            </w:r>
            <w:r w:rsidRPr="00EB0D70">
              <w:t xml:space="preserve"> è una tecnica ad elevata risoluzione che consente di raccogliere una grande quantità di informazioni su vaste aree nei primi metri del sottosuolo, riferibili alla presenza di corpi sepolti, cavità, strutture di interesse archeologico, stratificazioni del sottosuolo, ecc. Un apparato radar strumentale opera mediante la generazione di onde impulsive ad elevata frequenza (tipicamente tra </w:t>
            </w:r>
            <w:proofErr w:type="gramStart"/>
            <w:r w:rsidRPr="00EB0D70">
              <w:t>10</w:t>
            </w:r>
            <w:proofErr w:type="gramEnd"/>
            <w:r w:rsidRPr="00EB0D70">
              <w:t xml:space="preserve"> MHz a qualche GHz), che vengono trasmesse nel sottosuolo mediante un’opportuna </w:t>
            </w:r>
            <w:r w:rsidR="00CD6981" w:rsidRPr="00EB0D70">
              <w:t>“antenna</w:t>
            </w:r>
            <w:r w:rsidRPr="00EB0D70">
              <w:t xml:space="preserve"> </w:t>
            </w:r>
            <w:r w:rsidR="00CD6981" w:rsidRPr="00EB0D70">
              <w:t>trasmittente”</w:t>
            </w:r>
            <w:r w:rsidRPr="00EB0D70">
              <w:t xml:space="preserve"> disposta sulla superficie del terreno. Il segnale elettromagnetico si propaga nel mezzo e subisce delle riflessioni se incontra un mezzo con discontinuità dei parametri elettromagnetici. L’onda riflessa che torna in superficie viene registrata da una “antenna </w:t>
            </w:r>
            <w:r w:rsidR="00CD6981" w:rsidRPr="00EB0D70">
              <w:t>ricevente”</w:t>
            </w:r>
            <w:r w:rsidRPr="00EB0D70">
              <w:t>. Il segnale captato viene poi trasmesso all’unità di controllo che provvede ad amplificarlo e registrarlo in formato digitale.</w:t>
            </w:r>
            <w:r>
              <w:t xml:space="preserve"> La </w:t>
            </w:r>
            <w:r w:rsidR="00CD6981">
              <w:t>possibilità</w:t>
            </w:r>
            <w:r>
              <w:t xml:space="preserve"> di utilizzare le altre frequenze e quindi una alta risoluzione rende la tecnica applicabile anche su strutture legate al patrimonio culturale costruito e non solo.</w:t>
            </w:r>
          </w:p>
          <w:p w14:paraId="22FCF053" w14:textId="2547A103" w:rsidR="000037BF" w:rsidRDefault="000037BF" w:rsidP="000037BF">
            <w:pPr>
              <w:pStyle w:val="TableParagraph"/>
              <w:spacing w:before="1"/>
              <w:ind w:left="164" w:right="180"/>
              <w:jc w:val="both"/>
              <w:rPr>
                <w:sz w:val="24"/>
              </w:rPr>
            </w:pPr>
          </w:p>
        </w:tc>
      </w:tr>
      <w:tr w:rsidR="00C23B61" w14:paraId="66B6A337" w14:textId="77777777">
        <w:trPr>
          <w:trHeight w:val="2760"/>
        </w:trPr>
        <w:tc>
          <w:tcPr>
            <w:tcW w:w="9857" w:type="dxa"/>
          </w:tcPr>
          <w:p w14:paraId="5F740CD0" w14:textId="77777777" w:rsidR="00C23B61" w:rsidRDefault="00C23B61" w:rsidP="00C23B61">
            <w:pPr>
              <w:pStyle w:val="TableParagraph"/>
              <w:ind w:left="107"/>
              <w:jc w:val="both"/>
              <w:rPr>
                <w:b/>
                <w:sz w:val="24"/>
              </w:rPr>
            </w:pPr>
          </w:p>
          <w:p w14:paraId="57C3950E" w14:textId="0D06F866" w:rsidR="00C23B61" w:rsidRDefault="00C23B61" w:rsidP="00C23B61">
            <w:pPr>
              <w:pStyle w:val="TableParagraph"/>
              <w:ind w:left="107"/>
              <w:jc w:val="both"/>
              <w:rPr>
                <w:b/>
                <w:sz w:val="24"/>
              </w:rPr>
            </w:pPr>
            <w:r>
              <w:rPr>
                <w:b/>
                <w:sz w:val="24"/>
              </w:rPr>
              <w:t>DETTAGLI TECNICI:</w:t>
            </w:r>
          </w:p>
          <w:p w14:paraId="053A2AC8" w14:textId="77777777" w:rsidR="00C23B61" w:rsidRDefault="00C23B61" w:rsidP="00C23B61">
            <w:pPr>
              <w:pStyle w:val="TableParagraph"/>
              <w:spacing w:before="7"/>
              <w:rPr>
                <w:sz w:val="23"/>
              </w:rPr>
            </w:pPr>
          </w:p>
          <w:p w14:paraId="2387F554" w14:textId="6FB66E67" w:rsidR="00C23B61" w:rsidRDefault="00C23B61" w:rsidP="00C23B61">
            <w:pPr>
              <w:pStyle w:val="TableParagraph"/>
              <w:ind w:left="107" w:right="95"/>
              <w:jc w:val="both"/>
              <w:rPr>
                <w:sz w:val="24"/>
              </w:rPr>
            </w:pPr>
            <w:r>
              <w:rPr>
                <w:sz w:val="24"/>
              </w:rPr>
              <w:t xml:space="preserve">Lo strumento georadar portatile è dotato di un sistema di controllo, una serie di antenne con frequenze 200MHz, 600MHz, 900MHz e 2000MHz. </w:t>
            </w:r>
          </w:p>
          <w:p w14:paraId="44B64AB9" w14:textId="77777777" w:rsidR="00C23B61" w:rsidRDefault="00C23B61" w:rsidP="00C23B61">
            <w:pPr>
              <w:pStyle w:val="TableParagraph"/>
              <w:ind w:left="107" w:right="95"/>
              <w:jc w:val="both"/>
              <w:rPr>
                <w:sz w:val="24"/>
              </w:rPr>
            </w:pPr>
          </w:p>
          <w:p w14:paraId="31DB539C" w14:textId="77777777" w:rsidR="00C23B61" w:rsidRDefault="00C23B61" w:rsidP="00C23B61">
            <w:pPr>
              <w:pStyle w:val="TableParagraph"/>
              <w:spacing w:before="9"/>
              <w:jc w:val="center"/>
              <w:rPr>
                <w:sz w:val="27"/>
              </w:rPr>
            </w:pPr>
            <w:r>
              <w:rPr>
                <w:b/>
                <w:noProof/>
                <w:lang w:bidi="ar-SA"/>
              </w:rPr>
              <w:drawing>
                <wp:inline distT="0" distB="0" distL="0" distR="0" wp14:anchorId="54AE29E1" wp14:editId="38897980">
                  <wp:extent cx="3596640" cy="358140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40781" t="18555" r="10782" b="21289"/>
                          <a:stretch>
                            <a:fillRect/>
                          </a:stretch>
                        </pic:blipFill>
                        <pic:spPr bwMode="auto">
                          <a:xfrm>
                            <a:off x="0" y="0"/>
                            <a:ext cx="3596640" cy="3581400"/>
                          </a:xfrm>
                          <a:prstGeom prst="rect">
                            <a:avLst/>
                          </a:prstGeom>
                          <a:noFill/>
                          <a:ln>
                            <a:noFill/>
                          </a:ln>
                        </pic:spPr>
                      </pic:pic>
                    </a:graphicData>
                  </a:graphic>
                </wp:inline>
              </w:drawing>
            </w:r>
          </w:p>
          <w:p w14:paraId="4E016FBB" w14:textId="2B081265" w:rsidR="00C23B61" w:rsidRDefault="00C23B61" w:rsidP="00C23B61">
            <w:pPr>
              <w:pStyle w:val="TableParagraph"/>
              <w:ind w:left="99"/>
              <w:rPr>
                <w:sz w:val="24"/>
              </w:rPr>
            </w:pPr>
            <w:r>
              <w:rPr>
                <w:spacing w:val="6"/>
                <w:position w:val="118"/>
                <w:sz w:val="20"/>
              </w:rPr>
              <w:t xml:space="preserve"> </w:t>
            </w:r>
            <w:r>
              <w:rPr>
                <w:sz w:val="24"/>
              </w:rPr>
              <w:t xml:space="preserve">Figura: sistema georadar con </w:t>
            </w:r>
            <w:r>
              <w:rPr>
                <w:sz w:val="24"/>
              </w:rPr>
              <w:t>esempi</w:t>
            </w:r>
            <w:r>
              <w:rPr>
                <w:sz w:val="24"/>
              </w:rPr>
              <w:t xml:space="preserve"> di sezione radar.</w:t>
            </w:r>
          </w:p>
          <w:p w14:paraId="38711EC8" w14:textId="1297360E" w:rsidR="00C23B61" w:rsidRPr="00C23B61" w:rsidRDefault="00C23B61" w:rsidP="00C23B61">
            <w:pPr>
              <w:pStyle w:val="TableParagraph"/>
              <w:ind w:left="99"/>
              <w:rPr>
                <w:sz w:val="23"/>
              </w:rPr>
            </w:pPr>
          </w:p>
        </w:tc>
      </w:tr>
      <w:tr w:rsidR="00C23B61" w:rsidRPr="00C23B61" w14:paraId="4329F6EA" w14:textId="77777777">
        <w:trPr>
          <w:trHeight w:val="2760"/>
        </w:trPr>
        <w:tc>
          <w:tcPr>
            <w:tcW w:w="9857" w:type="dxa"/>
          </w:tcPr>
          <w:p w14:paraId="62E8564E" w14:textId="77777777" w:rsidR="00C23B61" w:rsidRDefault="00C23B61" w:rsidP="00C23B61">
            <w:pPr>
              <w:pStyle w:val="TableParagraph"/>
              <w:ind w:left="107"/>
              <w:jc w:val="both"/>
              <w:rPr>
                <w:b/>
                <w:sz w:val="24"/>
              </w:rPr>
            </w:pPr>
          </w:p>
          <w:p w14:paraId="74C4D6DC" w14:textId="0D57230D" w:rsidR="00C23B61" w:rsidRDefault="00C23B61" w:rsidP="00C23B61">
            <w:pPr>
              <w:pStyle w:val="TableParagraph"/>
              <w:ind w:left="107" w:right="180"/>
              <w:jc w:val="both"/>
              <w:rPr>
                <w:b/>
                <w:sz w:val="24"/>
              </w:rPr>
            </w:pPr>
            <w:r w:rsidRPr="00C23B61">
              <w:rPr>
                <w:b/>
                <w:sz w:val="24"/>
              </w:rPr>
              <w:t>MAGGIORI INFORMAZIONI:</w:t>
            </w:r>
          </w:p>
          <w:p w14:paraId="5EA8D097" w14:textId="77777777" w:rsidR="00C23B61" w:rsidRPr="00C23B61" w:rsidRDefault="00C23B61" w:rsidP="00C23B61">
            <w:pPr>
              <w:pStyle w:val="TableParagraph"/>
              <w:ind w:left="107" w:right="180"/>
              <w:jc w:val="both"/>
              <w:rPr>
                <w:b/>
                <w:sz w:val="24"/>
              </w:rPr>
            </w:pPr>
          </w:p>
          <w:p w14:paraId="3E73AC29" w14:textId="41CBCA23" w:rsidR="00C23B61" w:rsidRPr="00C23B61" w:rsidRDefault="00C23B61" w:rsidP="00C23B61">
            <w:pPr>
              <w:pStyle w:val="TableParagraph"/>
              <w:numPr>
                <w:ilvl w:val="0"/>
                <w:numId w:val="3"/>
              </w:numPr>
              <w:ind w:left="447" w:right="180" w:hanging="283"/>
              <w:jc w:val="both"/>
              <w:rPr>
                <w:bCs/>
                <w:sz w:val="24"/>
              </w:rPr>
            </w:pPr>
            <w:proofErr w:type="spellStart"/>
            <w:r w:rsidRPr="00C23B61">
              <w:rPr>
                <w:bCs/>
                <w:sz w:val="24"/>
              </w:rPr>
              <w:t>Leucci</w:t>
            </w:r>
            <w:proofErr w:type="spellEnd"/>
            <w:r w:rsidRPr="00C23B61">
              <w:rPr>
                <w:bCs/>
                <w:sz w:val="24"/>
              </w:rPr>
              <w:t xml:space="preserve"> G., 2007, Ground </w:t>
            </w:r>
            <w:proofErr w:type="spellStart"/>
            <w:r w:rsidRPr="00C23B61">
              <w:rPr>
                <w:bCs/>
                <w:sz w:val="24"/>
              </w:rPr>
              <w:t>Penetrating</w:t>
            </w:r>
            <w:proofErr w:type="spellEnd"/>
            <w:r w:rsidRPr="00C23B61">
              <w:rPr>
                <w:bCs/>
                <w:sz w:val="24"/>
              </w:rPr>
              <w:t xml:space="preserve"> Radar: </w:t>
            </w:r>
            <w:r w:rsidRPr="00C23B61">
              <w:rPr>
                <w:bCs/>
                <w:sz w:val="24"/>
              </w:rPr>
              <w:t>Un’introduzione</w:t>
            </w:r>
            <w:r w:rsidRPr="00C23B61">
              <w:rPr>
                <w:bCs/>
                <w:sz w:val="24"/>
              </w:rPr>
              <w:t xml:space="preserve"> per gli Archeologi; Aracne Editrice, Roma; ISBN: 978-88-548-0951-2.</w:t>
            </w:r>
          </w:p>
          <w:p w14:paraId="76A06CA5" w14:textId="210EC4B7" w:rsidR="00C23B61" w:rsidRPr="00C23B61" w:rsidRDefault="00C23B61" w:rsidP="00C23B61">
            <w:pPr>
              <w:pStyle w:val="TableParagraph"/>
              <w:numPr>
                <w:ilvl w:val="0"/>
                <w:numId w:val="3"/>
              </w:numPr>
              <w:ind w:left="447" w:right="180" w:hanging="283"/>
              <w:jc w:val="both"/>
              <w:rPr>
                <w:bCs/>
                <w:sz w:val="24"/>
                <w:lang w:val="en-GB"/>
              </w:rPr>
            </w:pPr>
            <w:proofErr w:type="spellStart"/>
            <w:r w:rsidRPr="00C23B61">
              <w:rPr>
                <w:bCs/>
                <w:sz w:val="24"/>
              </w:rPr>
              <w:t>Leucci</w:t>
            </w:r>
            <w:proofErr w:type="spellEnd"/>
            <w:r w:rsidRPr="00C23B61">
              <w:rPr>
                <w:bCs/>
                <w:sz w:val="24"/>
              </w:rPr>
              <w:t xml:space="preserve"> G., 2015, Geofisica Applicata all’Archeologia e ai Beni Monumentali. </w:t>
            </w:r>
            <w:r w:rsidRPr="00C23B61">
              <w:rPr>
                <w:bCs/>
                <w:sz w:val="24"/>
                <w:lang w:val="en-GB"/>
              </w:rPr>
              <w:t xml:space="preserve">Dario </w:t>
            </w:r>
            <w:proofErr w:type="spellStart"/>
            <w:r w:rsidRPr="00C23B61">
              <w:rPr>
                <w:bCs/>
                <w:sz w:val="24"/>
                <w:lang w:val="en-GB"/>
              </w:rPr>
              <w:t>Flaccovio</w:t>
            </w:r>
            <w:proofErr w:type="spellEnd"/>
            <w:r w:rsidRPr="00C23B61">
              <w:rPr>
                <w:bCs/>
                <w:sz w:val="24"/>
                <w:lang w:val="en-GB"/>
              </w:rPr>
              <w:t xml:space="preserve"> </w:t>
            </w:r>
            <w:proofErr w:type="spellStart"/>
            <w:r w:rsidRPr="00C23B61">
              <w:rPr>
                <w:bCs/>
                <w:sz w:val="24"/>
                <w:lang w:val="en-GB"/>
              </w:rPr>
              <w:t>Editore</w:t>
            </w:r>
            <w:proofErr w:type="spellEnd"/>
            <w:r w:rsidRPr="00C23B61">
              <w:rPr>
                <w:bCs/>
                <w:sz w:val="24"/>
                <w:lang w:val="en-GB"/>
              </w:rPr>
              <w:t>, Palermo, pp. 368. ISBN: 9788857905068</w:t>
            </w:r>
          </w:p>
          <w:p w14:paraId="0374E849" w14:textId="4E9D7287" w:rsidR="00C23B61" w:rsidRPr="00C23B61" w:rsidRDefault="00C23B61" w:rsidP="00C23B61">
            <w:pPr>
              <w:pStyle w:val="TableParagraph"/>
              <w:numPr>
                <w:ilvl w:val="0"/>
                <w:numId w:val="3"/>
              </w:numPr>
              <w:ind w:left="447" w:right="180" w:hanging="283"/>
              <w:jc w:val="both"/>
              <w:rPr>
                <w:bCs/>
                <w:sz w:val="24"/>
                <w:lang w:val="en-GB"/>
              </w:rPr>
            </w:pPr>
            <w:proofErr w:type="spellStart"/>
            <w:r w:rsidRPr="00C23B61">
              <w:rPr>
                <w:bCs/>
                <w:sz w:val="24"/>
                <w:lang w:val="en-GB"/>
              </w:rPr>
              <w:t>Leucci</w:t>
            </w:r>
            <w:proofErr w:type="spellEnd"/>
            <w:r w:rsidRPr="00C23B61">
              <w:rPr>
                <w:bCs/>
                <w:sz w:val="24"/>
                <w:lang w:val="en-GB"/>
              </w:rPr>
              <w:t xml:space="preserve"> G., 2019, </w:t>
            </w:r>
            <w:proofErr w:type="spellStart"/>
            <w:r w:rsidRPr="00C23B61">
              <w:rPr>
                <w:bCs/>
                <w:sz w:val="24"/>
                <w:lang w:val="en-GB"/>
              </w:rPr>
              <w:t>Nondestructive</w:t>
            </w:r>
            <w:proofErr w:type="spellEnd"/>
            <w:r w:rsidRPr="00C23B61">
              <w:rPr>
                <w:bCs/>
                <w:sz w:val="24"/>
                <w:lang w:val="en-GB"/>
              </w:rPr>
              <w:t xml:space="preserve"> Testing for Archaeology and Cultural Heritage: A practical guide and new perspective. Springer </w:t>
            </w:r>
            <w:proofErr w:type="spellStart"/>
            <w:r w:rsidRPr="00C23B61">
              <w:rPr>
                <w:bCs/>
                <w:sz w:val="24"/>
                <w:lang w:val="en-GB"/>
              </w:rPr>
              <w:t>editore</w:t>
            </w:r>
            <w:proofErr w:type="spellEnd"/>
            <w:r w:rsidRPr="00C23B61">
              <w:rPr>
                <w:bCs/>
                <w:sz w:val="24"/>
                <w:lang w:val="en-GB"/>
              </w:rPr>
              <w:t xml:space="preserve"> pp 217, ISBN 978-3-030-01898-6</w:t>
            </w:r>
          </w:p>
          <w:p w14:paraId="71D352F9" w14:textId="093F7AEA" w:rsidR="00C23B61" w:rsidRPr="00C23B61" w:rsidRDefault="00C23B61" w:rsidP="00C23B61">
            <w:pPr>
              <w:pStyle w:val="TableParagraph"/>
              <w:numPr>
                <w:ilvl w:val="0"/>
                <w:numId w:val="3"/>
              </w:numPr>
              <w:ind w:left="447" w:right="180" w:hanging="283"/>
              <w:jc w:val="both"/>
              <w:rPr>
                <w:bCs/>
                <w:sz w:val="24"/>
                <w:lang w:val="en-GB"/>
              </w:rPr>
            </w:pPr>
            <w:proofErr w:type="spellStart"/>
            <w:r w:rsidRPr="00C23B61">
              <w:rPr>
                <w:bCs/>
                <w:sz w:val="24"/>
                <w:lang w:val="en-GB"/>
              </w:rPr>
              <w:t>Leucci</w:t>
            </w:r>
            <w:proofErr w:type="spellEnd"/>
            <w:r w:rsidRPr="00C23B61">
              <w:rPr>
                <w:bCs/>
                <w:sz w:val="24"/>
                <w:lang w:val="en-GB"/>
              </w:rPr>
              <w:t xml:space="preserve"> G., 2020, Advances in Geophysical Methods Applied to Forensic Investigations: New Developments in Acquisition and Data Analysis Methodologies. Springer </w:t>
            </w:r>
            <w:proofErr w:type="spellStart"/>
            <w:r w:rsidRPr="00C23B61">
              <w:rPr>
                <w:bCs/>
                <w:sz w:val="24"/>
                <w:lang w:val="en-GB"/>
              </w:rPr>
              <w:t>editore</w:t>
            </w:r>
            <w:proofErr w:type="spellEnd"/>
            <w:r w:rsidRPr="00C23B61">
              <w:rPr>
                <w:bCs/>
                <w:sz w:val="24"/>
                <w:lang w:val="en-GB"/>
              </w:rPr>
              <w:t>, pp 200, ISBN 978-3-030-46241-3</w:t>
            </w:r>
          </w:p>
          <w:p w14:paraId="39F33AF7" w14:textId="0643CB1A" w:rsidR="00C23B61" w:rsidRPr="00C23B61" w:rsidRDefault="00C23B61" w:rsidP="00C23B61">
            <w:pPr>
              <w:pStyle w:val="TableParagraph"/>
              <w:ind w:left="107"/>
              <w:jc w:val="both"/>
              <w:rPr>
                <w:b/>
                <w:sz w:val="24"/>
                <w:lang w:val="en-GB"/>
              </w:rPr>
            </w:pPr>
          </w:p>
        </w:tc>
      </w:tr>
    </w:tbl>
    <w:p w14:paraId="4342BE3A" w14:textId="77777777" w:rsidR="00B634D9" w:rsidRPr="00C23B61" w:rsidRDefault="00B634D9">
      <w:pPr>
        <w:pStyle w:val="BodyText"/>
        <w:spacing w:before="6"/>
        <w:rPr>
          <w:sz w:val="26"/>
          <w:lang w:val="en-GB"/>
        </w:rPr>
      </w:pPr>
    </w:p>
    <w:p w14:paraId="72888452" w14:textId="77777777" w:rsidR="00B634D9" w:rsidRPr="00C23B61" w:rsidRDefault="00325A66">
      <w:pPr>
        <w:spacing w:before="57"/>
        <w:ind w:left="212"/>
      </w:pPr>
      <w:r w:rsidRPr="00C23B61">
        <w:t xml:space="preserve">Referente: Giovanni </w:t>
      </w:r>
      <w:proofErr w:type="spellStart"/>
      <w:r w:rsidRPr="00C23B61">
        <w:t>Leucci</w:t>
      </w:r>
      <w:proofErr w:type="spellEnd"/>
      <w:r w:rsidRPr="00C23B61">
        <w:t xml:space="preserve"> (giovanni.leucci@cnr.it)</w:t>
      </w:r>
    </w:p>
    <w:sectPr w:rsidR="00B634D9" w:rsidRPr="00C23B61">
      <w:pgSz w:w="11910" w:h="16840"/>
      <w:pgMar w:top="14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E6C29"/>
    <w:multiLevelType w:val="hybridMultilevel"/>
    <w:tmpl w:val="E586E9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65486C"/>
    <w:multiLevelType w:val="hybridMultilevel"/>
    <w:tmpl w:val="3FEE1C2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42167510"/>
    <w:multiLevelType w:val="hybridMultilevel"/>
    <w:tmpl w:val="C5524C94"/>
    <w:lvl w:ilvl="0" w:tplc="BB786428">
      <w:start w:val="1"/>
      <w:numFmt w:val="decimal"/>
      <w:lvlText w:val="%1)"/>
      <w:lvlJc w:val="left"/>
      <w:pPr>
        <w:ind w:left="717" w:hanging="61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74511DC2"/>
    <w:multiLevelType w:val="hybridMultilevel"/>
    <w:tmpl w:val="C0DAEFC8"/>
    <w:lvl w:ilvl="0" w:tplc="67220E7C">
      <w:numFmt w:val="bullet"/>
      <w:lvlText w:val=""/>
      <w:lvlJc w:val="left"/>
      <w:pPr>
        <w:ind w:left="823" w:hanging="360"/>
      </w:pPr>
      <w:rPr>
        <w:rFonts w:ascii="Symbol" w:eastAsia="Symbol" w:hAnsi="Symbol" w:cs="Symbol" w:hint="default"/>
        <w:w w:val="100"/>
        <w:sz w:val="24"/>
        <w:szCs w:val="24"/>
        <w:lang w:val="it-IT" w:eastAsia="it-IT" w:bidi="it-IT"/>
      </w:rPr>
    </w:lvl>
    <w:lvl w:ilvl="1" w:tplc="02864836">
      <w:numFmt w:val="bullet"/>
      <w:lvlText w:val="•"/>
      <w:lvlJc w:val="left"/>
      <w:pPr>
        <w:ind w:left="1722" w:hanging="360"/>
      </w:pPr>
      <w:rPr>
        <w:rFonts w:hint="default"/>
        <w:lang w:val="it-IT" w:eastAsia="it-IT" w:bidi="it-IT"/>
      </w:rPr>
    </w:lvl>
    <w:lvl w:ilvl="2" w:tplc="C3E24E14">
      <w:numFmt w:val="bullet"/>
      <w:lvlText w:val="•"/>
      <w:lvlJc w:val="left"/>
      <w:pPr>
        <w:ind w:left="2625" w:hanging="360"/>
      </w:pPr>
      <w:rPr>
        <w:rFonts w:hint="default"/>
        <w:lang w:val="it-IT" w:eastAsia="it-IT" w:bidi="it-IT"/>
      </w:rPr>
    </w:lvl>
    <w:lvl w:ilvl="3" w:tplc="D63088EE">
      <w:numFmt w:val="bullet"/>
      <w:lvlText w:val="•"/>
      <w:lvlJc w:val="left"/>
      <w:pPr>
        <w:ind w:left="3528" w:hanging="360"/>
      </w:pPr>
      <w:rPr>
        <w:rFonts w:hint="default"/>
        <w:lang w:val="it-IT" w:eastAsia="it-IT" w:bidi="it-IT"/>
      </w:rPr>
    </w:lvl>
    <w:lvl w:ilvl="4" w:tplc="8D34A9BA">
      <w:numFmt w:val="bullet"/>
      <w:lvlText w:val="•"/>
      <w:lvlJc w:val="left"/>
      <w:pPr>
        <w:ind w:left="4430" w:hanging="360"/>
      </w:pPr>
      <w:rPr>
        <w:rFonts w:hint="default"/>
        <w:lang w:val="it-IT" w:eastAsia="it-IT" w:bidi="it-IT"/>
      </w:rPr>
    </w:lvl>
    <w:lvl w:ilvl="5" w:tplc="EE141B1E">
      <w:numFmt w:val="bullet"/>
      <w:lvlText w:val="•"/>
      <w:lvlJc w:val="left"/>
      <w:pPr>
        <w:ind w:left="5333" w:hanging="360"/>
      </w:pPr>
      <w:rPr>
        <w:rFonts w:hint="default"/>
        <w:lang w:val="it-IT" w:eastAsia="it-IT" w:bidi="it-IT"/>
      </w:rPr>
    </w:lvl>
    <w:lvl w:ilvl="6" w:tplc="A63861BC">
      <w:numFmt w:val="bullet"/>
      <w:lvlText w:val="•"/>
      <w:lvlJc w:val="left"/>
      <w:pPr>
        <w:ind w:left="6236" w:hanging="360"/>
      </w:pPr>
      <w:rPr>
        <w:rFonts w:hint="default"/>
        <w:lang w:val="it-IT" w:eastAsia="it-IT" w:bidi="it-IT"/>
      </w:rPr>
    </w:lvl>
    <w:lvl w:ilvl="7" w:tplc="C7A834C2">
      <w:numFmt w:val="bullet"/>
      <w:lvlText w:val="•"/>
      <w:lvlJc w:val="left"/>
      <w:pPr>
        <w:ind w:left="7139" w:hanging="360"/>
      </w:pPr>
      <w:rPr>
        <w:rFonts w:hint="default"/>
        <w:lang w:val="it-IT" w:eastAsia="it-IT" w:bidi="it-IT"/>
      </w:rPr>
    </w:lvl>
    <w:lvl w:ilvl="8" w:tplc="68749CD0">
      <w:numFmt w:val="bullet"/>
      <w:lvlText w:val="•"/>
      <w:lvlJc w:val="left"/>
      <w:pPr>
        <w:ind w:left="8041" w:hanging="360"/>
      </w:pPr>
      <w:rPr>
        <w:rFonts w:hint="default"/>
        <w:lang w:val="it-IT" w:eastAsia="it-IT" w:bidi="it-I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NzQztDQ0MDAxNDNS0lEKTi0uzszPAykwqgUAYjEXFSwAAAA="/>
  </w:docVars>
  <w:rsids>
    <w:rsidRoot w:val="00B634D9"/>
    <w:rsid w:val="000037BF"/>
    <w:rsid w:val="00245F2F"/>
    <w:rsid w:val="00323562"/>
    <w:rsid w:val="00325A66"/>
    <w:rsid w:val="0080310C"/>
    <w:rsid w:val="00B634D9"/>
    <w:rsid w:val="00C23B61"/>
    <w:rsid w:val="00CD6981"/>
    <w:rsid w:val="00D74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EC55"/>
  <w15:docId w15:val="{1F9B2B95-76C5-43FD-8D1E-5E33CF39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355</Words>
  <Characters>2026</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David Buti</cp:lastModifiedBy>
  <cp:revision>6</cp:revision>
  <dcterms:created xsi:type="dcterms:W3CDTF">2020-10-13T15:32:00Z</dcterms:created>
  <dcterms:modified xsi:type="dcterms:W3CDTF">2020-10-14T08:42:00Z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Microsoft® Office Word 2007</vt:lpwstr>
  </property>
  <property fmtid="{D5CDD505-2E9C-101B-9397-08002B2CF9AE}" pid="4" name="LastSaved">
    <vt:filetime>2020-10-13T00:00:00Z</vt:filetime>
  </property>
</Properties>
</file>