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445879" w14:paraId="480785F2" w14:textId="77777777">
        <w:trPr>
          <w:trHeight w:val="563"/>
        </w:trPr>
        <w:tc>
          <w:tcPr>
            <w:tcW w:w="9857" w:type="dxa"/>
          </w:tcPr>
          <w:p w14:paraId="3D88E6B5" w14:textId="77777777" w:rsidR="00445879" w:rsidRDefault="0045406B">
            <w:pPr>
              <w:pStyle w:val="TableParagraph"/>
              <w:spacing w:line="273" w:lineRule="exact"/>
              <w:ind w:left="2358" w:right="2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STRUMENTAZIONE MOLAB: DESCRIZIONE</w:t>
            </w:r>
          </w:p>
        </w:tc>
      </w:tr>
      <w:tr w:rsidR="00445879" w14:paraId="1B3421A0" w14:textId="77777777">
        <w:trPr>
          <w:trHeight w:val="275"/>
        </w:trPr>
        <w:tc>
          <w:tcPr>
            <w:tcW w:w="9857" w:type="dxa"/>
          </w:tcPr>
          <w:p w14:paraId="63AA66BC" w14:textId="563EDA5A" w:rsidR="00445879" w:rsidRDefault="0045406B">
            <w:pPr>
              <w:pStyle w:val="TableParagraph"/>
              <w:spacing w:line="256" w:lineRule="exact"/>
              <w:ind w:left="2358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LABORATORIO: CNR-SCITEC</w:t>
            </w:r>
          </w:p>
        </w:tc>
      </w:tr>
      <w:tr w:rsidR="00445879" w14:paraId="460D5891" w14:textId="77777777">
        <w:trPr>
          <w:trHeight w:val="1379"/>
        </w:trPr>
        <w:tc>
          <w:tcPr>
            <w:tcW w:w="9857" w:type="dxa"/>
          </w:tcPr>
          <w:p w14:paraId="39FABD1C" w14:textId="77777777" w:rsidR="00445879" w:rsidRDefault="00445879">
            <w:pPr>
              <w:pStyle w:val="TableParagraph"/>
              <w:spacing w:before="5"/>
              <w:rPr>
                <w:sz w:val="23"/>
              </w:rPr>
            </w:pPr>
          </w:p>
          <w:p w14:paraId="6335A7AC" w14:textId="77777777" w:rsidR="00445879" w:rsidRDefault="004540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STRUMENTO</w:t>
            </w:r>
          </w:p>
          <w:p w14:paraId="1C6E5CC9" w14:textId="77777777" w:rsidR="00445879" w:rsidRDefault="00445879">
            <w:pPr>
              <w:pStyle w:val="TableParagraph"/>
              <w:spacing w:before="7"/>
              <w:rPr>
                <w:sz w:val="23"/>
              </w:rPr>
            </w:pPr>
          </w:p>
          <w:p w14:paraId="50EA42B1" w14:textId="77777777" w:rsidR="00445879" w:rsidRDefault="00454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Fluorescenza a raggi X (XRF): XGLab</w:t>
            </w:r>
          </w:p>
        </w:tc>
      </w:tr>
      <w:tr w:rsidR="00445879" w14:paraId="485E5284" w14:textId="77777777">
        <w:trPr>
          <w:trHeight w:val="2760"/>
        </w:trPr>
        <w:tc>
          <w:tcPr>
            <w:tcW w:w="9857" w:type="dxa"/>
          </w:tcPr>
          <w:p w14:paraId="090B8B78" w14:textId="77777777" w:rsidR="00445879" w:rsidRDefault="00445879">
            <w:pPr>
              <w:pStyle w:val="TableParagraph"/>
              <w:spacing w:before="5"/>
              <w:rPr>
                <w:sz w:val="23"/>
              </w:rPr>
            </w:pPr>
          </w:p>
          <w:p w14:paraId="1AF23770" w14:textId="77777777" w:rsidR="00445879" w:rsidRDefault="0045406B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GENERALI:</w:t>
            </w:r>
          </w:p>
          <w:p w14:paraId="59458A0B" w14:textId="77777777" w:rsidR="00445879" w:rsidRDefault="00445879">
            <w:pPr>
              <w:pStyle w:val="TableParagraph"/>
              <w:spacing w:before="7"/>
              <w:rPr>
                <w:sz w:val="23"/>
              </w:rPr>
            </w:pPr>
          </w:p>
          <w:p w14:paraId="5BCDB757" w14:textId="77777777" w:rsidR="00445879" w:rsidRDefault="0045406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Il nuovo strumento XRF portatile disponibile nel MOLAB è progettato per analisi in situ essendo estremamente maneggevole, veloce e completamente non invasivo. Questa tecnica permette la determinazione della composizione elementale (Z&gt;12) dei materiali, ed </w:t>
            </w:r>
            <w:r>
              <w:rPr>
                <w:sz w:val="24"/>
              </w:rPr>
              <w:t>il suo utilizzo è di grande interesse nel campo dei beni culturali per l'analisi di dipinti, manoscritti, monumenti, metalli etc.</w:t>
            </w:r>
          </w:p>
          <w:p w14:paraId="7DFF5B4B" w14:textId="77777777" w:rsidR="00445879" w:rsidRDefault="0045406B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L'informazione ottenuta è utile per formulare prime ipotesi riguardo l'identificazione dei pigmenti inorganici presenti, evide</w:t>
            </w:r>
            <w:r>
              <w:rPr>
                <w:sz w:val="24"/>
              </w:rPr>
              <w:t xml:space="preserve">nziando anche la presenza di </w:t>
            </w:r>
            <w:r>
              <w:rPr>
                <w:i/>
                <w:sz w:val="24"/>
              </w:rPr>
              <w:t>pentimenti</w:t>
            </w:r>
            <w:r>
              <w:rPr>
                <w:sz w:val="24"/>
              </w:rPr>
              <w:t>, ritocchi etc.</w:t>
            </w:r>
          </w:p>
        </w:tc>
      </w:tr>
      <w:tr w:rsidR="00445879" w14:paraId="5CB0E63E" w14:textId="77777777">
        <w:trPr>
          <w:trHeight w:val="9109"/>
        </w:trPr>
        <w:tc>
          <w:tcPr>
            <w:tcW w:w="9857" w:type="dxa"/>
          </w:tcPr>
          <w:p w14:paraId="65907EF9" w14:textId="77777777" w:rsidR="00445879" w:rsidRDefault="00445879">
            <w:pPr>
              <w:pStyle w:val="TableParagraph"/>
              <w:spacing w:before="5"/>
              <w:rPr>
                <w:sz w:val="23"/>
              </w:rPr>
            </w:pPr>
          </w:p>
          <w:p w14:paraId="7363FB4F" w14:textId="77777777" w:rsidR="00445879" w:rsidRDefault="0045406B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DETTAGLI TECNICI:</w:t>
            </w:r>
          </w:p>
          <w:p w14:paraId="5DACF245" w14:textId="77777777" w:rsidR="00445879" w:rsidRDefault="00445879">
            <w:pPr>
              <w:pStyle w:val="TableParagraph"/>
              <w:spacing w:before="7"/>
              <w:rPr>
                <w:sz w:val="23"/>
              </w:rPr>
            </w:pPr>
          </w:p>
          <w:p w14:paraId="4ED7228C" w14:textId="77777777" w:rsidR="00445879" w:rsidRDefault="0045406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Lo strumento XRF portatile ELIO è dotato di un rivelatore di tipo Silicon Drift Detector (SDD) con un'area attiva di 25mm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e una risoluzione in energia alla riga Kα del Mn di 130 eV con 10 kcps di fotoni in ingresso (modalità di alta risoluzione), o di 170</w:t>
            </w:r>
            <w:r>
              <w:rPr>
                <w:sz w:val="24"/>
              </w:rPr>
              <w:t xml:space="preserve"> eV con 200 kcps di fotoni in ingresso (modalità veloce). Lo strumento è dotato di un analizzatore multicanale (MCA) ad 8k canali molto veloce (USB 2.0) caratterizzato da alta risoluzione ed elevata capacità di conteggio. La sorgente di eccitazione è un tu</w:t>
            </w:r>
            <w:r>
              <w:rPr>
                <w:sz w:val="24"/>
              </w:rPr>
              <w:t>bo a raggi X a trasmissione dotato di un anodo di Rh, con una corrente tra i 5 e i 200 µA, un voltaggio che può andare da 10 a 40 kV, e collimatore di 1mm. ELIO è inoltre dotato di due puntatori laser (assiale e focale) e una micro-camera interna che perme</w:t>
            </w:r>
            <w:r>
              <w:rPr>
                <w:sz w:val="24"/>
              </w:rPr>
              <w:t>tte la messa a fuoco della regione specifica di analisi. Il prototipo è inoltre provvisto di cavalletto regolabile in altezza (43- 188cm).</w:t>
            </w:r>
          </w:p>
          <w:p w14:paraId="2E553AC3" w14:textId="77777777" w:rsidR="00445879" w:rsidRDefault="00445879">
            <w:pPr>
              <w:pStyle w:val="TableParagraph"/>
              <w:spacing w:before="9"/>
              <w:rPr>
                <w:sz w:val="27"/>
              </w:rPr>
            </w:pPr>
          </w:p>
          <w:p w14:paraId="16BC25E1" w14:textId="77777777" w:rsidR="00445879" w:rsidRDefault="0045406B">
            <w:pPr>
              <w:pStyle w:val="TableParagraph"/>
              <w:ind w:left="99"/>
              <w:rPr>
                <w:sz w:val="20"/>
              </w:rPr>
            </w:pPr>
            <w:r>
              <w:rPr>
                <w:noProof/>
                <w:position w:val="118"/>
                <w:sz w:val="20"/>
              </w:rPr>
              <w:drawing>
                <wp:inline distT="0" distB="0" distL="0" distR="0" wp14:anchorId="519D029E" wp14:editId="0F7A553F">
                  <wp:extent cx="3482570" cy="17099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570" cy="170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"/>
                <w:position w:val="118"/>
                <w:sz w:val="20"/>
              </w:rPr>
              <w:t xml:space="preserve"> </w:t>
            </w:r>
            <w:r>
              <w:rPr>
                <w:noProof/>
                <w:spacing w:val="6"/>
                <w:sz w:val="20"/>
              </w:rPr>
              <w:drawing>
                <wp:inline distT="0" distB="0" distL="0" distR="0" wp14:anchorId="6325104D" wp14:editId="1FEF3F94">
                  <wp:extent cx="2544093" cy="250202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093" cy="250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5F6D0" w14:textId="77777777" w:rsidR="00445879" w:rsidRDefault="00445879">
            <w:pPr>
              <w:pStyle w:val="TableParagraph"/>
              <w:spacing w:before="7"/>
              <w:rPr>
                <w:sz w:val="37"/>
              </w:rPr>
            </w:pPr>
          </w:p>
          <w:p w14:paraId="3EDA6DBE" w14:textId="77777777" w:rsidR="00445879" w:rsidRDefault="0045406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Figura: Condizioni operative dello spettrometro XRF Elio durante misure in situ.</w:t>
            </w:r>
          </w:p>
        </w:tc>
      </w:tr>
    </w:tbl>
    <w:p w14:paraId="097DB8A9" w14:textId="77777777" w:rsidR="00445879" w:rsidRDefault="00445879">
      <w:pPr>
        <w:jc w:val="both"/>
        <w:rPr>
          <w:sz w:val="24"/>
        </w:rPr>
        <w:sectPr w:rsidR="00445879">
          <w:type w:val="continuous"/>
          <w:pgSz w:w="11910" w:h="16840"/>
          <w:pgMar w:top="1400" w:right="900" w:bottom="280" w:left="920" w:header="720" w:footer="720" w:gutter="0"/>
          <w:cols w:space="720"/>
        </w:sectPr>
      </w:pPr>
    </w:p>
    <w:p w14:paraId="3721E098" w14:textId="77777777" w:rsidR="00445879" w:rsidRDefault="0045406B">
      <w:pPr>
        <w:pStyle w:val="BodyText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 w14:anchorId="5B43BC0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2.85pt;height:126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090EE7F" w14:textId="77777777" w:rsidR="00445879" w:rsidRDefault="00445879"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 w14:paraId="631A6071" w14:textId="77777777" w:rsidR="00445879" w:rsidRDefault="0045406B">
                  <w:pPr>
                    <w:spacing w:line="275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MAGGIORI INFORMAZIONI:</w:t>
                  </w:r>
                </w:p>
                <w:p w14:paraId="05F2B4E2" w14:textId="77777777" w:rsidR="00445879" w:rsidRDefault="0045406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spacing w:before="1" w:line="237" w:lineRule="auto"/>
                    <w:ind w:right="103"/>
                    <w:jc w:val="both"/>
                  </w:pPr>
                  <w:r>
                    <w:t xml:space="preserve">C. Miliani, F. Rosi, B. G. Brunetti, A. Sgamellotti, </w:t>
                  </w:r>
                  <w:r>
                    <w:rPr>
                      <w:spacing w:val="-3"/>
                    </w:rPr>
                    <w:t xml:space="preserve">In </w:t>
                  </w:r>
                  <w:r>
                    <w:t>situ Non-invasive Study of Artworks: The MOLAB Multitechnique Approach, Acc. Chem. Res., 2010, 43 (6),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728-738</w:t>
                  </w:r>
                </w:p>
                <w:p w14:paraId="4B11EFCF" w14:textId="77777777" w:rsidR="00445879" w:rsidRPr="0045406B" w:rsidRDefault="0045406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spacing w:before="2"/>
                    <w:ind w:right="99"/>
                    <w:jc w:val="both"/>
                    <w:rPr>
                      <w:lang w:val="en-GB"/>
                    </w:rPr>
                  </w:pPr>
                  <w:hyperlink r:id="rId7">
                    <w:r>
                      <w:t>V. Capogrosso,</w:t>
                    </w:r>
                  </w:hyperlink>
                  <w:r>
                    <w:t xml:space="preserve"> </w:t>
                  </w:r>
                  <w:hyperlink r:id="rId8">
                    <w:r>
                      <w:t>F. Gabrieli</w:t>
                    </w:r>
                  </w:hyperlink>
                  <w:r>
                    <w:t xml:space="preserve">, </w:t>
                  </w:r>
                  <w:hyperlink r:id="rId9">
                    <w:r>
                      <w:t>S. Bellei,</w:t>
                    </w:r>
                  </w:hyperlink>
                  <w:r>
                    <w:t xml:space="preserve"> </w:t>
                  </w:r>
                  <w:hyperlink r:id="rId10">
                    <w:r>
                      <w:t>L. Cartechini</w:t>
                    </w:r>
                  </w:hyperlink>
                  <w:r>
                    <w:t xml:space="preserve">, </w:t>
                  </w:r>
                  <w:hyperlink r:id="rId11">
                    <w:r>
                      <w:t>A. Cesaratto</w:t>
                    </w:r>
                  </w:hyperlink>
                  <w:r>
                    <w:t xml:space="preserve">, </w:t>
                  </w:r>
                  <w:hyperlink r:id="rId12">
                    <w:r>
                      <w:t>N. Trcera,</w:t>
                    </w:r>
                  </w:hyperlink>
                  <w:r>
                    <w:t xml:space="preserve"> </w:t>
                  </w:r>
                  <w:hyperlink r:id="rId13">
                    <w:r>
                      <w:t>F. Rosi</w:t>
                    </w:r>
                  </w:hyperlink>
                  <w:r>
                    <w:t xml:space="preserve">, </w:t>
                  </w:r>
                  <w:hyperlink r:id="rId14">
                    <w:r>
                      <w:t>G.</w:t>
                    </w:r>
                  </w:hyperlink>
                  <w:hyperlink r:id="rId15">
                    <w:r>
                      <w:t xml:space="preserve"> </w:t>
                    </w:r>
                    <w:r w:rsidRPr="0045406B">
                      <w:rPr>
                        <w:lang w:val="en-GB"/>
                      </w:rPr>
                      <w:t>Valentini,</w:t>
                    </w:r>
                  </w:hyperlink>
                  <w:r w:rsidRPr="0045406B">
                    <w:rPr>
                      <w:lang w:val="en-GB"/>
                    </w:rPr>
                    <w:t xml:space="preserve"> </w:t>
                  </w:r>
                  <w:hyperlink r:id="rId16">
                    <w:r w:rsidRPr="0045406B">
                      <w:rPr>
                        <w:lang w:val="en-GB"/>
                      </w:rPr>
                      <w:t>D. Comelli</w:t>
                    </w:r>
                  </w:hyperlink>
                  <w:r w:rsidRPr="0045406B">
                    <w:rPr>
                      <w:lang w:val="en-GB"/>
                    </w:rPr>
                    <w:t xml:space="preserve"> and </w:t>
                  </w:r>
                  <w:hyperlink r:id="rId17">
                    <w:r w:rsidRPr="0045406B">
                      <w:rPr>
                        <w:lang w:val="en-GB"/>
                      </w:rPr>
                      <w:t>A. Nevin,</w:t>
                    </w:r>
                  </w:hyperlink>
                  <w:r w:rsidRPr="0045406B">
                    <w:rPr>
                      <w:lang w:val="en-GB"/>
                    </w:rPr>
                    <w:t xml:space="preserve"> An integrated approach based on micro-mapping analytical techniques for the detection of impurities in historical Zn-based white pigments, J. Anal. At, Spectrom., 2015, 30,</w:t>
                  </w:r>
                  <w:r w:rsidRPr="0045406B">
                    <w:rPr>
                      <w:spacing w:val="-1"/>
                      <w:lang w:val="en-GB"/>
                    </w:rPr>
                    <w:t xml:space="preserve"> </w:t>
                  </w:r>
                  <w:r w:rsidRPr="0045406B">
                    <w:rPr>
                      <w:lang w:val="en-GB"/>
                    </w:rPr>
                    <w:t>828-838</w:t>
                  </w:r>
                </w:p>
              </w:txbxContent>
            </v:textbox>
            <w10:anchorlock/>
          </v:shape>
        </w:pict>
      </w:r>
    </w:p>
    <w:p w14:paraId="29B1FFB6" w14:textId="77777777" w:rsidR="00445879" w:rsidRDefault="00445879">
      <w:pPr>
        <w:pStyle w:val="BodyText"/>
        <w:spacing w:before="6"/>
        <w:rPr>
          <w:sz w:val="26"/>
        </w:rPr>
      </w:pPr>
    </w:p>
    <w:p w14:paraId="2CABB073" w14:textId="77777777" w:rsidR="00445879" w:rsidRDefault="0045406B">
      <w:pPr>
        <w:spacing w:before="57"/>
        <w:ind w:left="212"/>
        <w:rPr>
          <w:rFonts w:ascii="Calibri"/>
        </w:rPr>
      </w:pPr>
      <w:r>
        <w:rPr>
          <w:rFonts w:ascii="Calibri"/>
        </w:rPr>
        <w:t>Referente: Laura Cartechini (laura.cartechini@cnr.it)</w:t>
      </w:r>
    </w:p>
    <w:sectPr w:rsidR="00445879">
      <w:pgSz w:w="1191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F3ED3"/>
    <w:multiLevelType w:val="hybridMultilevel"/>
    <w:tmpl w:val="C442CB7C"/>
    <w:lvl w:ilvl="0" w:tplc="FAEA847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A20A0BE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12BC34C8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23B8A70A">
      <w:numFmt w:val="bullet"/>
      <w:lvlText w:val="•"/>
      <w:lvlJc w:val="left"/>
      <w:pPr>
        <w:ind w:left="3528" w:hanging="360"/>
      </w:pPr>
      <w:rPr>
        <w:rFonts w:hint="default"/>
        <w:lang w:val="it-IT" w:eastAsia="it-IT" w:bidi="it-IT"/>
      </w:rPr>
    </w:lvl>
    <w:lvl w:ilvl="4" w:tplc="C81C4C40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878C696A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803ABF46">
      <w:numFmt w:val="bullet"/>
      <w:lvlText w:val="•"/>
      <w:lvlJc w:val="left"/>
      <w:pPr>
        <w:ind w:left="6236" w:hanging="360"/>
      </w:pPr>
      <w:rPr>
        <w:rFonts w:hint="default"/>
        <w:lang w:val="it-IT" w:eastAsia="it-IT" w:bidi="it-IT"/>
      </w:rPr>
    </w:lvl>
    <w:lvl w:ilvl="7" w:tplc="688679E6">
      <w:numFmt w:val="bullet"/>
      <w:lvlText w:val="•"/>
      <w:lvlJc w:val="left"/>
      <w:pPr>
        <w:ind w:left="7139" w:hanging="360"/>
      </w:pPr>
      <w:rPr>
        <w:rFonts w:hint="default"/>
        <w:lang w:val="it-IT" w:eastAsia="it-IT" w:bidi="it-IT"/>
      </w:rPr>
    </w:lvl>
    <w:lvl w:ilvl="8" w:tplc="DA1033E2">
      <w:numFmt w:val="bullet"/>
      <w:lvlText w:val="•"/>
      <w:lvlJc w:val="left"/>
      <w:pPr>
        <w:ind w:left="804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879"/>
    <w:rsid w:val="00445879"/>
    <w:rsid w:val="004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EB9131"/>
  <w15:docId w15:val="{857E8BDB-2122-46FF-BCB7-0739FB3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rsc.org/en/results?searchtext=Author%3AF.%20Gabrieli" TargetMode="External"/><Relationship Id="rId13" Type="http://schemas.openxmlformats.org/officeDocument/2006/relationships/hyperlink" Target="http://pubs.rsc.org/en/results?searchtext=Author%3AF.%20Ros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s.rsc.org/en/results?searchtext=Author%3AV.%20Capogrosso" TargetMode="External"/><Relationship Id="rId12" Type="http://schemas.openxmlformats.org/officeDocument/2006/relationships/hyperlink" Target="http://pubs.rsc.org/en/results?searchtext=Author%3AN.%20Trcera" TargetMode="External"/><Relationship Id="rId17" Type="http://schemas.openxmlformats.org/officeDocument/2006/relationships/hyperlink" Target="http://pubs.rsc.org/en/results?searchtext=Author%3AA.%20Nevin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s.rsc.org/en/results?searchtext=Author%3AD.%20Comell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ubs.rsc.org/en/results?searchtext=Author%3AA.%20Cesaratt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ubs.rsc.org/en/results?searchtext=Author%3AG.%20Valentini" TargetMode="External"/><Relationship Id="rId10" Type="http://schemas.openxmlformats.org/officeDocument/2006/relationships/hyperlink" Target="http://pubs.rsc.org/en/results?searchtext=Author%3AL.%20Cartechin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ubs.rsc.org/en/results?searchtext=Author%3AS.%20Bellei" TargetMode="External"/><Relationship Id="rId14" Type="http://schemas.openxmlformats.org/officeDocument/2006/relationships/hyperlink" Target="http://pubs.rsc.org/en/results?searchtext=Author%3AG.%20Valenti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David Buti</cp:lastModifiedBy>
  <cp:revision>2</cp:revision>
  <dcterms:created xsi:type="dcterms:W3CDTF">2020-10-13T08:24:00Z</dcterms:created>
  <dcterms:modified xsi:type="dcterms:W3CDTF">2020-12-17T12:04:00Z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