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7"/>
      </w:tblGrid>
      <w:tr w:rsidR="003D2524">
        <w:trPr>
          <w:trHeight w:val="563"/>
        </w:trPr>
        <w:tc>
          <w:tcPr>
            <w:tcW w:w="9857" w:type="dxa"/>
          </w:tcPr>
          <w:p w:rsidR="003D2524" w:rsidRDefault="0048381E">
            <w:pPr>
              <w:pStyle w:val="TableParagraph"/>
              <w:spacing w:line="273" w:lineRule="exact"/>
              <w:ind w:left="2358" w:right="2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STRUMENTAZIONE MOLAB: DESCRIZIONE</w:t>
            </w:r>
          </w:p>
        </w:tc>
      </w:tr>
      <w:tr w:rsidR="003D2524">
        <w:trPr>
          <w:trHeight w:val="275"/>
        </w:trPr>
        <w:tc>
          <w:tcPr>
            <w:tcW w:w="9857" w:type="dxa"/>
          </w:tcPr>
          <w:p w:rsidR="003D2524" w:rsidRDefault="0048381E" w:rsidP="00834BE7">
            <w:pPr>
              <w:pStyle w:val="TableParagraph"/>
              <w:spacing w:line="256" w:lineRule="exact"/>
              <w:ind w:left="2358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LABORATORIO: CNR-</w:t>
            </w:r>
            <w:r w:rsidR="00834BE7">
              <w:rPr>
                <w:b/>
                <w:sz w:val="24"/>
              </w:rPr>
              <w:t>ISPC</w:t>
            </w:r>
          </w:p>
        </w:tc>
      </w:tr>
      <w:tr w:rsidR="003D2524">
        <w:trPr>
          <w:trHeight w:val="1379"/>
        </w:trPr>
        <w:tc>
          <w:tcPr>
            <w:tcW w:w="9857" w:type="dxa"/>
          </w:tcPr>
          <w:p w:rsidR="003D2524" w:rsidRDefault="003D2524">
            <w:pPr>
              <w:pStyle w:val="TableParagraph"/>
              <w:spacing w:before="5"/>
              <w:rPr>
                <w:sz w:val="23"/>
              </w:rPr>
            </w:pPr>
          </w:p>
          <w:p w:rsidR="003D2524" w:rsidRDefault="0048381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STRUMENTO</w:t>
            </w:r>
          </w:p>
          <w:p w:rsidR="003D2524" w:rsidRDefault="003D2524">
            <w:pPr>
              <w:pStyle w:val="TableParagraph"/>
              <w:spacing w:before="7"/>
              <w:rPr>
                <w:sz w:val="23"/>
              </w:rPr>
            </w:pPr>
          </w:p>
          <w:p w:rsidR="003D2524" w:rsidRDefault="00834BE7" w:rsidP="006709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Spettroscopia </w:t>
            </w:r>
            <w:proofErr w:type="spellStart"/>
            <w:r w:rsidRPr="007A25CD">
              <w:rPr>
                <w:sz w:val="24"/>
              </w:rPr>
              <w:t>Raman</w:t>
            </w:r>
            <w:proofErr w:type="spellEnd"/>
            <w:r w:rsidR="0048381E" w:rsidRPr="007A25CD">
              <w:rPr>
                <w:sz w:val="24"/>
              </w:rPr>
              <w:t xml:space="preserve">: </w:t>
            </w:r>
            <w:proofErr w:type="spellStart"/>
            <w:r w:rsidR="0067095E" w:rsidRPr="007A25CD">
              <w:rPr>
                <w:sz w:val="24"/>
              </w:rPr>
              <w:t>Xantus</w:t>
            </w:r>
            <w:proofErr w:type="spellEnd"/>
            <w:r w:rsidR="0067095E" w:rsidRPr="007A25CD">
              <w:rPr>
                <w:sz w:val="24"/>
              </w:rPr>
              <w:t xml:space="preserve"> 2 </w:t>
            </w:r>
            <w:r w:rsidR="0067095E" w:rsidRPr="007A25CD">
              <w:rPr>
                <w:sz w:val="24"/>
                <w:vertAlign w:val="superscript"/>
              </w:rPr>
              <w:t>TM</w:t>
            </w:r>
            <w:r w:rsidR="0067095E" w:rsidRPr="007A25CD">
              <w:rPr>
                <w:sz w:val="24"/>
              </w:rPr>
              <w:t xml:space="preserve"> </w:t>
            </w:r>
            <w:proofErr w:type="spellStart"/>
            <w:r w:rsidRPr="007A25CD">
              <w:rPr>
                <w:sz w:val="24"/>
              </w:rPr>
              <w:t>Rigaku</w:t>
            </w:r>
            <w:proofErr w:type="spellEnd"/>
            <w:r w:rsidR="0067095E" w:rsidRPr="0067095E">
              <w:rPr>
                <w:sz w:val="24"/>
              </w:rPr>
              <w:t xml:space="preserve"> </w:t>
            </w:r>
          </w:p>
        </w:tc>
      </w:tr>
      <w:tr w:rsidR="003D2524">
        <w:trPr>
          <w:trHeight w:val="2760"/>
        </w:trPr>
        <w:tc>
          <w:tcPr>
            <w:tcW w:w="9857" w:type="dxa"/>
          </w:tcPr>
          <w:p w:rsidR="003D2524" w:rsidRDefault="003D2524">
            <w:pPr>
              <w:pStyle w:val="TableParagraph"/>
              <w:spacing w:before="5"/>
              <w:rPr>
                <w:sz w:val="23"/>
              </w:rPr>
            </w:pPr>
          </w:p>
          <w:p w:rsidR="003D2524" w:rsidRDefault="0048381E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GENERALI:</w:t>
            </w:r>
          </w:p>
          <w:p w:rsidR="003D2524" w:rsidRDefault="003D2524">
            <w:pPr>
              <w:pStyle w:val="TableParagraph"/>
              <w:spacing w:before="7"/>
              <w:rPr>
                <w:sz w:val="23"/>
              </w:rPr>
            </w:pPr>
          </w:p>
          <w:p w:rsidR="000C1349" w:rsidRDefault="00834BE7" w:rsidP="000C134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Lo spettrometro </w:t>
            </w:r>
            <w:proofErr w:type="spellStart"/>
            <w:r>
              <w:rPr>
                <w:sz w:val="24"/>
              </w:rPr>
              <w:t>Raman</w:t>
            </w:r>
            <w:proofErr w:type="spellEnd"/>
            <w:r>
              <w:rPr>
                <w:sz w:val="24"/>
              </w:rPr>
              <w:t xml:space="preserve"> portatile disponibile nel MOLAB </w:t>
            </w:r>
            <w:r w:rsidR="00A04972">
              <w:rPr>
                <w:sz w:val="24"/>
              </w:rPr>
              <w:t>si utilizza</w:t>
            </w:r>
            <w:r w:rsidR="00190115">
              <w:rPr>
                <w:sz w:val="24"/>
              </w:rPr>
              <w:t xml:space="preserve"> per analizzare</w:t>
            </w:r>
            <w:r>
              <w:rPr>
                <w:sz w:val="24"/>
              </w:rPr>
              <w:t xml:space="preserve"> in situ </w:t>
            </w:r>
            <w:r w:rsidR="00190115">
              <w:rPr>
                <w:sz w:val="24"/>
              </w:rPr>
              <w:t xml:space="preserve">in modo </w:t>
            </w:r>
            <w:r w:rsidR="00A04972">
              <w:rPr>
                <w:sz w:val="24"/>
              </w:rPr>
              <w:t>non invasiv</w:t>
            </w:r>
            <w:r w:rsidR="00190115">
              <w:rPr>
                <w:sz w:val="24"/>
              </w:rPr>
              <w:t>o</w:t>
            </w:r>
            <w:r w:rsidR="00276F45">
              <w:rPr>
                <w:sz w:val="24"/>
              </w:rPr>
              <w:t xml:space="preserve"> la composizione molecolare delle sostanze presenti sulla superficie dei materiali. Nel campo dei Beni Culturali </w:t>
            </w:r>
            <w:r w:rsidR="007A25CD">
              <w:rPr>
                <w:sz w:val="24"/>
              </w:rPr>
              <w:t xml:space="preserve">la spettroscopia </w:t>
            </w:r>
            <w:proofErr w:type="spellStart"/>
            <w:r w:rsidR="007A25CD">
              <w:rPr>
                <w:sz w:val="24"/>
              </w:rPr>
              <w:t>Raman</w:t>
            </w:r>
            <w:proofErr w:type="spellEnd"/>
            <w:r w:rsidR="007A25CD">
              <w:rPr>
                <w:sz w:val="24"/>
              </w:rPr>
              <w:t xml:space="preserve"> </w:t>
            </w:r>
            <w:r w:rsidR="00276F45">
              <w:rPr>
                <w:sz w:val="24"/>
              </w:rPr>
              <w:t xml:space="preserve">rappresenta </w:t>
            </w:r>
            <w:r w:rsidR="00276F45" w:rsidRPr="007A25CD">
              <w:rPr>
                <w:sz w:val="24"/>
              </w:rPr>
              <w:t>una delle tecniche di elezione</w:t>
            </w:r>
            <w:r w:rsidR="00276F45">
              <w:rPr>
                <w:sz w:val="24"/>
              </w:rPr>
              <w:t xml:space="preserve"> per la caratterizzazione dei pigmenti (inorganici ed organici) </w:t>
            </w:r>
            <w:r w:rsidR="000C1349">
              <w:rPr>
                <w:sz w:val="24"/>
              </w:rPr>
              <w:t xml:space="preserve">impiegati per la realizzazione di </w:t>
            </w:r>
            <w:r w:rsidR="00276F45">
              <w:rPr>
                <w:sz w:val="24"/>
              </w:rPr>
              <w:t xml:space="preserve">dipinti, pitture murali, oggetti decorati. </w:t>
            </w:r>
            <w:r w:rsidR="000C1349">
              <w:rPr>
                <w:sz w:val="24"/>
              </w:rPr>
              <w:t xml:space="preserve">Il vantaggio di questa tecnica consiste nella possibilità di identificare in modo univoco il tipo di molecola in esame, e di conseguenza il tipo di pigmento.  </w:t>
            </w:r>
          </w:p>
          <w:p w:rsidR="003D2524" w:rsidRDefault="000C1349" w:rsidP="000C134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I risultati che si ottengono permettono di ricostruire la tecnica esecutiva con cui è stata realizzata l’opera, oltre che il suo stato di conservazione. Infatti, oltre alla tavolozza pittorica, si possono ricavare informazioni anche sulla presenza di prodotti di degrado o di </w:t>
            </w:r>
            <w:r w:rsidR="00C91EE6">
              <w:rPr>
                <w:sz w:val="24"/>
              </w:rPr>
              <w:t xml:space="preserve">sostanze applicate </w:t>
            </w:r>
            <w:r>
              <w:rPr>
                <w:sz w:val="24"/>
              </w:rPr>
              <w:t>sulla superficie dei beni per fini conservativi.</w:t>
            </w:r>
          </w:p>
          <w:p w:rsidR="000C1349" w:rsidRDefault="000C1349" w:rsidP="007A25C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Al fine di ricavare informazioni</w:t>
            </w:r>
            <w:r w:rsidR="005D22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anche </w:t>
            </w:r>
            <w:r w:rsidR="005D2224">
              <w:rPr>
                <w:sz w:val="24"/>
              </w:rPr>
              <w:t>de</w:t>
            </w:r>
            <w:r>
              <w:rPr>
                <w:sz w:val="24"/>
              </w:rPr>
              <w:t xml:space="preserve">lle porzioni più interne dei materiali in modo non-invasivo, è stata sviluppata una tecnica </w:t>
            </w:r>
            <w:proofErr w:type="spellStart"/>
            <w:r>
              <w:rPr>
                <w:sz w:val="24"/>
              </w:rPr>
              <w:t>Raman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micro-Spatially</w:t>
            </w:r>
            <w:proofErr w:type="spellEnd"/>
            <w:r>
              <w:rPr>
                <w:sz w:val="24"/>
              </w:rPr>
              <w:t xml:space="preserve"> Offset </w:t>
            </w:r>
            <w:proofErr w:type="spellStart"/>
            <w:r>
              <w:rPr>
                <w:sz w:val="24"/>
              </w:rPr>
              <w:t>Raman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Spectroscopy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micro-SORS</w:t>
            </w:r>
            <w:proofErr w:type="spellEnd"/>
            <w:r>
              <w:rPr>
                <w:sz w:val="24"/>
              </w:rPr>
              <w:t xml:space="preserve">), in grado di </w:t>
            </w:r>
            <w:r w:rsidRPr="007A25CD">
              <w:rPr>
                <w:sz w:val="24"/>
              </w:rPr>
              <w:t>ri</w:t>
            </w:r>
            <w:r w:rsidR="005D2224" w:rsidRPr="007A25CD">
              <w:rPr>
                <w:sz w:val="24"/>
              </w:rPr>
              <w:t xml:space="preserve">levare </w:t>
            </w:r>
            <w:r w:rsidR="0067095E" w:rsidRPr="007A25CD">
              <w:rPr>
                <w:sz w:val="24"/>
              </w:rPr>
              <w:t xml:space="preserve">in modo non invasivo </w:t>
            </w:r>
            <w:r w:rsidR="005D2224" w:rsidRPr="007A25CD">
              <w:rPr>
                <w:sz w:val="24"/>
              </w:rPr>
              <w:t>la</w:t>
            </w:r>
            <w:r w:rsidR="005D2224">
              <w:rPr>
                <w:sz w:val="24"/>
              </w:rPr>
              <w:t xml:space="preserve"> presenza di composti situati al di sotto della superficie. Il metodo è stato recentemente ottimizzato su strumentazione portatile, utilizzando lo spettrometro </w:t>
            </w:r>
            <w:proofErr w:type="spellStart"/>
            <w:r w:rsidR="0067095E" w:rsidRPr="007A25CD">
              <w:rPr>
                <w:sz w:val="24"/>
              </w:rPr>
              <w:t>Xantus</w:t>
            </w:r>
            <w:proofErr w:type="spellEnd"/>
            <w:r w:rsidR="0067095E" w:rsidRPr="007A25CD">
              <w:rPr>
                <w:sz w:val="24"/>
              </w:rPr>
              <w:t xml:space="preserve"> 2</w:t>
            </w:r>
            <w:r w:rsidR="0067095E" w:rsidRPr="007A25CD">
              <w:rPr>
                <w:sz w:val="24"/>
                <w:vertAlign w:val="superscript"/>
              </w:rPr>
              <w:t>TM</w:t>
            </w:r>
            <w:r w:rsidR="0067095E" w:rsidRPr="007A25CD">
              <w:rPr>
                <w:sz w:val="24"/>
              </w:rPr>
              <w:t xml:space="preserve"> </w:t>
            </w:r>
            <w:proofErr w:type="spellStart"/>
            <w:r w:rsidR="005D2224" w:rsidRPr="007A25CD">
              <w:rPr>
                <w:sz w:val="24"/>
              </w:rPr>
              <w:t>Rigaku</w:t>
            </w:r>
            <w:proofErr w:type="spellEnd"/>
            <w:r w:rsidR="005D2224">
              <w:rPr>
                <w:sz w:val="24"/>
              </w:rPr>
              <w:t xml:space="preserve"> e un</w:t>
            </w:r>
            <w:r w:rsidR="007A25CD">
              <w:rPr>
                <w:sz w:val="24"/>
              </w:rPr>
              <w:t>o</w:t>
            </w:r>
            <w:r w:rsidR="005D2224">
              <w:rPr>
                <w:sz w:val="24"/>
              </w:rPr>
              <w:t xml:space="preserve"> </w:t>
            </w:r>
            <w:r w:rsidR="007A25CD" w:rsidRPr="007A25CD">
              <w:rPr>
                <w:sz w:val="24"/>
              </w:rPr>
              <w:t>stage motorizzato per movimenti micrometrici</w:t>
            </w:r>
            <w:r w:rsidR="007A25CD">
              <w:rPr>
                <w:sz w:val="24"/>
              </w:rPr>
              <w:t xml:space="preserve"> </w:t>
            </w:r>
            <w:r w:rsidR="005D2224" w:rsidRPr="007A25CD">
              <w:rPr>
                <w:sz w:val="24"/>
              </w:rPr>
              <w:t>in</w:t>
            </w:r>
            <w:r w:rsidR="005D2224">
              <w:rPr>
                <w:sz w:val="24"/>
              </w:rPr>
              <w:t xml:space="preserve"> grado di </w:t>
            </w:r>
            <w:r w:rsidR="007A25CD">
              <w:rPr>
                <w:sz w:val="24"/>
              </w:rPr>
              <w:t>muovere lo strumento sull’asse perpendicolare alla superficie del bene</w:t>
            </w:r>
            <w:r w:rsidR="005D2224">
              <w:rPr>
                <w:sz w:val="24"/>
              </w:rPr>
              <w:t xml:space="preserve">. </w:t>
            </w:r>
            <w:r w:rsidR="00C91EE6">
              <w:rPr>
                <w:sz w:val="24"/>
              </w:rPr>
              <w:t>Le misure consistono</w:t>
            </w:r>
            <w:r w:rsidR="005D2224">
              <w:rPr>
                <w:sz w:val="24"/>
              </w:rPr>
              <w:t xml:space="preserve"> nell’acquisizione di una serie di spettri </w:t>
            </w:r>
            <w:proofErr w:type="spellStart"/>
            <w:r w:rsidR="005D2224" w:rsidRPr="007A25CD">
              <w:rPr>
                <w:sz w:val="24"/>
              </w:rPr>
              <w:t>Raman</w:t>
            </w:r>
            <w:proofErr w:type="spellEnd"/>
            <w:r w:rsidR="005D2224" w:rsidRPr="007A25CD">
              <w:rPr>
                <w:sz w:val="24"/>
              </w:rPr>
              <w:t xml:space="preserve"> a </w:t>
            </w:r>
            <w:r w:rsidR="0067095E" w:rsidRPr="007A25CD">
              <w:rPr>
                <w:sz w:val="24"/>
              </w:rPr>
              <w:t xml:space="preserve">distanza crescente </w:t>
            </w:r>
            <w:r w:rsidR="005D2224" w:rsidRPr="007A25CD">
              <w:rPr>
                <w:sz w:val="24"/>
              </w:rPr>
              <w:t>dall’oggetto</w:t>
            </w:r>
            <w:r w:rsidR="005D2224">
              <w:rPr>
                <w:sz w:val="24"/>
              </w:rPr>
              <w:t xml:space="preserve"> in modo da </w:t>
            </w:r>
            <w:proofErr w:type="spellStart"/>
            <w:r w:rsidR="005D2224">
              <w:rPr>
                <w:sz w:val="24"/>
              </w:rPr>
              <w:t>defocalizzare</w:t>
            </w:r>
            <w:proofErr w:type="spellEnd"/>
            <w:r w:rsidR="005D2224">
              <w:rPr>
                <w:sz w:val="24"/>
              </w:rPr>
              <w:t xml:space="preserve"> l’area di indagine e quella di raccolta e rilevare così i fotoni </w:t>
            </w:r>
            <w:proofErr w:type="spellStart"/>
            <w:r w:rsidR="005D2224">
              <w:rPr>
                <w:sz w:val="24"/>
              </w:rPr>
              <w:t>Raman</w:t>
            </w:r>
            <w:proofErr w:type="spellEnd"/>
            <w:r w:rsidR="005D2224">
              <w:rPr>
                <w:sz w:val="24"/>
              </w:rPr>
              <w:t xml:space="preserve"> più profondi che riemergono lateralmente in superficie. La tecnica </w:t>
            </w:r>
            <w:proofErr w:type="spellStart"/>
            <w:r w:rsidR="005D2224">
              <w:rPr>
                <w:sz w:val="24"/>
              </w:rPr>
              <w:t>micro-SORS</w:t>
            </w:r>
            <w:proofErr w:type="spellEnd"/>
            <w:r w:rsidR="005D2224">
              <w:rPr>
                <w:sz w:val="24"/>
              </w:rPr>
              <w:t xml:space="preserve"> ha un forte impatto nell’ambito dei Beni Culturali in quanto permette di ricostruire, seppur parzialmente, stratigrafie pittoriche o di evidenziare la presenza di prodotti di degrado nascosti dalla superficie. </w:t>
            </w:r>
          </w:p>
        </w:tc>
      </w:tr>
      <w:tr w:rsidR="003D2524">
        <w:trPr>
          <w:trHeight w:val="9109"/>
        </w:trPr>
        <w:tc>
          <w:tcPr>
            <w:tcW w:w="9857" w:type="dxa"/>
          </w:tcPr>
          <w:p w:rsidR="003D2524" w:rsidRDefault="003D2524">
            <w:pPr>
              <w:pStyle w:val="TableParagraph"/>
              <w:spacing w:before="5"/>
              <w:rPr>
                <w:sz w:val="23"/>
              </w:rPr>
            </w:pPr>
          </w:p>
          <w:p w:rsidR="003D2524" w:rsidRDefault="0048381E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DETTAGLI TECNICI:</w:t>
            </w:r>
          </w:p>
          <w:p w:rsidR="003D2524" w:rsidRDefault="003D2524">
            <w:pPr>
              <w:pStyle w:val="TableParagraph"/>
              <w:spacing w:before="7"/>
              <w:rPr>
                <w:sz w:val="23"/>
              </w:rPr>
            </w:pPr>
          </w:p>
          <w:p w:rsidR="00D31563" w:rsidRDefault="0048381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Lo </w:t>
            </w:r>
            <w:r w:rsidR="00D31563">
              <w:rPr>
                <w:sz w:val="24"/>
              </w:rPr>
              <w:t>spettrometro</w:t>
            </w:r>
            <w:r>
              <w:rPr>
                <w:sz w:val="24"/>
              </w:rPr>
              <w:t xml:space="preserve"> </w:t>
            </w:r>
            <w:proofErr w:type="spellStart"/>
            <w:r w:rsidR="00E151A8">
              <w:rPr>
                <w:sz w:val="24"/>
              </w:rPr>
              <w:t>Raman</w:t>
            </w:r>
            <w:proofErr w:type="spellEnd"/>
            <w:r>
              <w:rPr>
                <w:sz w:val="24"/>
              </w:rPr>
              <w:t xml:space="preserve"> portatile </w:t>
            </w:r>
            <w:proofErr w:type="spellStart"/>
            <w:r w:rsidR="00E151A8">
              <w:rPr>
                <w:sz w:val="24"/>
              </w:rPr>
              <w:t>Rigaku</w:t>
            </w:r>
            <w:proofErr w:type="spellEnd"/>
            <w:r w:rsidR="00E151A8">
              <w:rPr>
                <w:sz w:val="24"/>
              </w:rPr>
              <w:t xml:space="preserve"> Xantus-2</w:t>
            </w:r>
            <w:r w:rsidR="00D31563" w:rsidRPr="00D31563">
              <w:rPr>
                <w:rFonts w:cs="Arial"/>
                <w:snapToGrid w:val="0"/>
                <w:szCs w:val="20"/>
              </w:rPr>
              <w:t>™</w:t>
            </w:r>
            <w:r w:rsidR="00E151A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è dotato di </w:t>
            </w:r>
            <w:r w:rsidR="00D31563">
              <w:rPr>
                <w:sz w:val="24"/>
              </w:rPr>
              <w:t xml:space="preserve">due linee di eccitazione laser (785 </w:t>
            </w:r>
            <w:proofErr w:type="spellStart"/>
            <w:r w:rsidR="00D31563">
              <w:rPr>
                <w:sz w:val="24"/>
              </w:rPr>
              <w:t>nm</w:t>
            </w:r>
            <w:proofErr w:type="spellEnd"/>
            <w:r w:rsidR="00D31563">
              <w:rPr>
                <w:sz w:val="24"/>
              </w:rPr>
              <w:t xml:space="preserve"> e 1064 </w:t>
            </w:r>
            <w:proofErr w:type="spellStart"/>
            <w:r w:rsidR="00D31563">
              <w:rPr>
                <w:sz w:val="24"/>
              </w:rPr>
              <w:t>nm</w:t>
            </w:r>
            <w:proofErr w:type="spellEnd"/>
            <w:r w:rsidR="00D31563">
              <w:rPr>
                <w:sz w:val="24"/>
              </w:rPr>
              <w:t xml:space="preserve">) </w:t>
            </w:r>
            <w:r w:rsidR="00D31563" w:rsidRPr="00D31563">
              <w:rPr>
                <w:sz w:val="24"/>
              </w:rPr>
              <w:t xml:space="preserve">ed un detector CCD 2000 × 256 Pixel </w:t>
            </w:r>
            <w:proofErr w:type="spellStart"/>
            <w:r w:rsidR="00D31563" w:rsidRPr="00D31563">
              <w:rPr>
                <w:sz w:val="24"/>
              </w:rPr>
              <w:t>termoelettricamente</w:t>
            </w:r>
            <w:proofErr w:type="spellEnd"/>
            <w:r w:rsidR="00D31563" w:rsidRPr="00D31563">
              <w:rPr>
                <w:sz w:val="24"/>
              </w:rPr>
              <w:t xml:space="preserve"> raffreddato</w:t>
            </w:r>
            <w:r w:rsidR="00D31563">
              <w:rPr>
                <w:sz w:val="24"/>
              </w:rPr>
              <w:t>. La</w:t>
            </w:r>
            <w:r w:rsidR="00D31563" w:rsidRPr="00D31563">
              <w:rPr>
                <w:sz w:val="24"/>
              </w:rPr>
              <w:t xml:space="preserve"> risoluzione spettrale </w:t>
            </w:r>
            <w:r w:rsidR="007F2B18">
              <w:rPr>
                <w:sz w:val="24"/>
              </w:rPr>
              <w:t xml:space="preserve">è </w:t>
            </w:r>
            <w:r w:rsidR="00D31563" w:rsidRPr="00D31563">
              <w:rPr>
                <w:sz w:val="24"/>
              </w:rPr>
              <w:t>di 7-10 cm</w:t>
            </w:r>
            <w:r w:rsidR="00D31563" w:rsidRPr="00D31563">
              <w:rPr>
                <w:sz w:val="24"/>
                <w:vertAlign w:val="superscript"/>
              </w:rPr>
              <w:t>-1</w:t>
            </w:r>
            <w:r w:rsidR="0067215D">
              <w:rPr>
                <w:sz w:val="24"/>
              </w:rPr>
              <w:t xml:space="preserve"> </w:t>
            </w:r>
            <w:r w:rsidR="00D31563">
              <w:rPr>
                <w:sz w:val="24"/>
              </w:rPr>
              <w:t xml:space="preserve">ed il </w:t>
            </w:r>
            <w:proofErr w:type="spellStart"/>
            <w:r w:rsidR="00D31563" w:rsidRPr="00D31563">
              <w:rPr>
                <w:sz w:val="24"/>
              </w:rPr>
              <w:t>range</w:t>
            </w:r>
            <w:proofErr w:type="spellEnd"/>
            <w:r w:rsidR="00D31563" w:rsidRPr="00D31563">
              <w:rPr>
                <w:sz w:val="24"/>
              </w:rPr>
              <w:t xml:space="preserve"> </w:t>
            </w:r>
            <w:r w:rsidR="00D31563">
              <w:rPr>
                <w:sz w:val="24"/>
              </w:rPr>
              <w:t xml:space="preserve">spettrale </w:t>
            </w:r>
            <w:r w:rsidR="00D31563" w:rsidRPr="00D31563">
              <w:rPr>
                <w:sz w:val="24"/>
              </w:rPr>
              <w:t>da 200 a 2200 cm</w:t>
            </w:r>
            <w:r w:rsidR="00D31563" w:rsidRPr="00D31563">
              <w:rPr>
                <w:sz w:val="24"/>
                <w:vertAlign w:val="superscript"/>
              </w:rPr>
              <w:t>-1</w:t>
            </w:r>
            <w:r w:rsidR="00D31563">
              <w:rPr>
                <w:sz w:val="24"/>
              </w:rPr>
              <w:t>. E’ possibile modulare l’intensità de</w:t>
            </w:r>
            <w:r w:rsidR="007F2B18">
              <w:rPr>
                <w:sz w:val="24"/>
              </w:rPr>
              <w:t>i</w:t>
            </w:r>
            <w:r w:rsidR="00D31563">
              <w:rPr>
                <w:sz w:val="24"/>
              </w:rPr>
              <w:t xml:space="preserve"> laser da un minimo di 30 </w:t>
            </w:r>
            <w:proofErr w:type="spellStart"/>
            <w:r w:rsidR="00D31563">
              <w:rPr>
                <w:sz w:val="24"/>
              </w:rPr>
              <w:t>mW</w:t>
            </w:r>
            <w:proofErr w:type="spellEnd"/>
            <w:r w:rsidR="00D31563">
              <w:rPr>
                <w:sz w:val="24"/>
              </w:rPr>
              <w:t xml:space="preserve"> ad un massimo di 490 </w:t>
            </w:r>
            <w:proofErr w:type="spellStart"/>
            <w:r w:rsidR="00D31563">
              <w:rPr>
                <w:sz w:val="24"/>
              </w:rPr>
              <w:t>mW</w:t>
            </w:r>
            <w:proofErr w:type="spellEnd"/>
            <w:r w:rsidR="00D31563">
              <w:rPr>
                <w:sz w:val="24"/>
              </w:rPr>
              <w:t xml:space="preserve">, così come i tempi di acquisizione possono variare da pochi secondi a pochi minuti. </w:t>
            </w:r>
            <w:r w:rsidR="00B55D4B">
              <w:rPr>
                <w:sz w:val="24"/>
              </w:rPr>
              <w:t>Il fascio laser si può focalizz</w:t>
            </w:r>
            <w:r w:rsidR="0067215D">
              <w:rPr>
                <w:sz w:val="24"/>
              </w:rPr>
              <w:t>are sia tramite la lente a basso</w:t>
            </w:r>
            <w:r w:rsidR="00B55D4B">
              <w:rPr>
                <w:sz w:val="24"/>
              </w:rPr>
              <w:t xml:space="preserve"> ingrandimen</w:t>
            </w:r>
            <w:r w:rsidR="0067215D">
              <w:rPr>
                <w:sz w:val="24"/>
              </w:rPr>
              <w:t>to</w:t>
            </w:r>
            <w:r w:rsidR="00B55D4B">
              <w:rPr>
                <w:sz w:val="24"/>
              </w:rPr>
              <w:t xml:space="preserve"> di dotazione </w:t>
            </w:r>
            <w:r w:rsidR="0067215D" w:rsidRPr="0067215D">
              <w:rPr>
                <w:sz w:val="24"/>
              </w:rPr>
              <w:t>a</w:t>
            </w:r>
            <w:r w:rsidR="00B55D4B">
              <w:rPr>
                <w:sz w:val="24"/>
              </w:rPr>
              <w:t>llo strumento che con un obiettivo da microscopio</w:t>
            </w:r>
            <w:r w:rsidR="007A25CD">
              <w:rPr>
                <w:sz w:val="24"/>
              </w:rPr>
              <w:t xml:space="preserve"> a più alto ingrandimento</w:t>
            </w:r>
            <w:r w:rsidR="00B55D4B">
              <w:rPr>
                <w:sz w:val="24"/>
              </w:rPr>
              <w:t xml:space="preserve"> che viene applicato allo strumento tramite un adattatore metallico appositamente realizzato nei nostri laboratori. </w:t>
            </w:r>
            <w:r w:rsidR="007F2B18">
              <w:rPr>
                <w:sz w:val="24"/>
              </w:rPr>
              <w:t xml:space="preserve">Lo strumento è piuttosto compatto (dimensioni 138x274x98 cm) e viene solitamente posizionato </w:t>
            </w:r>
            <w:r w:rsidR="007A25CD">
              <w:rPr>
                <w:sz w:val="24"/>
              </w:rPr>
              <w:t xml:space="preserve">uno </w:t>
            </w:r>
            <w:r w:rsidR="007A25CD" w:rsidRPr="007A25CD">
              <w:rPr>
                <w:sz w:val="24"/>
              </w:rPr>
              <w:t xml:space="preserve">stage motorizzato </w:t>
            </w:r>
            <w:r w:rsidR="00B55D4B">
              <w:rPr>
                <w:sz w:val="24"/>
              </w:rPr>
              <w:t xml:space="preserve">per permettere una agevole movimentazione </w:t>
            </w:r>
            <w:r w:rsidR="007A25CD" w:rsidRPr="007A25CD">
              <w:rPr>
                <w:sz w:val="24"/>
              </w:rPr>
              <w:t>sull’asse perpendicolare alla superficie</w:t>
            </w:r>
            <w:r w:rsidR="00B55D4B">
              <w:rPr>
                <w:sz w:val="24"/>
              </w:rPr>
              <w:t>, necessaria per la corretta messa a fuoco del fascio</w:t>
            </w:r>
            <w:r w:rsidR="0067215D">
              <w:rPr>
                <w:sz w:val="24"/>
              </w:rPr>
              <w:t xml:space="preserve"> laser. Lo strumento e il micro</w:t>
            </w:r>
            <w:r w:rsidR="00B55D4B">
              <w:rPr>
                <w:sz w:val="24"/>
              </w:rPr>
              <w:t xml:space="preserve">stage sono posizionati su </w:t>
            </w:r>
            <w:r w:rsidR="007F2B18">
              <w:rPr>
                <w:sz w:val="24"/>
              </w:rPr>
              <w:t xml:space="preserve">un cavalletto regolabile in altezza per assicurare una maggiore stabilità e accuratezza delle misure. </w:t>
            </w:r>
          </w:p>
          <w:p w:rsidR="00D31563" w:rsidRDefault="00B55D4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 modalità </w:t>
            </w:r>
            <w:proofErr w:type="spellStart"/>
            <w:r>
              <w:rPr>
                <w:sz w:val="24"/>
              </w:rPr>
              <w:t>micro-SORS</w:t>
            </w:r>
            <w:proofErr w:type="spellEnd"/>
            <w:r>
              <w:rPr>
                <w:sz w:val="24"/>
              </w:rPr>
              <w:t xml:space="preserve"> viene realizzata allontanando lo </w:t>
            </w:r>
            <w:r w:rsidR="00ED14E0">
              <w:rPr>
                <w:sz w:val="24"/>
              </w:rPr>
              <w:t>strumento</w:t>
            </w:r>
            <w:r>
              <w:rPr>
                <w:sz w:val="24"/>
              </w:rPr>
              <w:t xml:space="preserve"> </w:t>
            </w:r>
            <w:r w:rsidR="00ED14E0">
              <w:rPr>
                <w:sz w:val="24"/>
              </w:rPr>
              <w:t xml:space="preserve">dalla posizione di fuoco </w:t>
            </w:r>
            <w:r>
              <w:rPr>
                <w:sz w:val="24"/>
              </w:rPr>
              <w:t xml:space="preserve">tramite movimenti micrometrici </w:t>
            </w:r>
            <w:r w:rsidR="00ED14E0">
              <w:rPr>
                <w:sz w:val="24"/>
              </w:rPr>
              <w:t xml:space="preserve">sequenziali </w:t>
            </w:r>
            <w:r>
              <w:rPr>
                <w:sz w:val="24"/>
              </w:rPr>
              <w:t>regolati da</w:t>
            </w:r>
            <w:r w:rsidR="00ED14E0">
              <w:rPr>
                <w:sz w:val="24"/>
              </w:rPr>
              <w:t xml:space="preserve"> software. L’elaborazione spettrale viene effettuata utilizzando software dedicati come </w:t>
            </w:r>
            <w:proofErr w:type="spellStart"/>
            <w:r w:rsidR="00ED14E0">
              <w:rPr>
                <w:sz w:val="24"/>
              </w:rPr>
              <w:t>Origin-Pro</w:t>
            </w:r>
            <w:proofErr w:type="spellEnd"/>
            <w:r w:rsidR="00ED14E0">
              <w:rPr>
                <w:sz w:val="24"/>
              </w:rPr>
              <w:t xml:space="preserve"> e OPUS. </w:t>
            </w:r>
          </w:p>
          <w:p w:rsidR="003D2524" w:rsidRDefault="003D2524">
            <w:pPr>
              <w:pStyle w:val="TableParagraph"/>
              <w:spacing w:before="9"/>
              <w:rPr>
                <w:sz w:val="27"/>
              </w:rPr>
            </w:pPr>
          </w:p>
          <w:p w:rsidR="003D2524" w:rsidRDefault="0048381E" w:rsidP="00154FA5">
            <w:pPr>
              <w:pStyle w:val="TableParagraph"/>
              <w:tabs>
                <w:tab w:val="left" w:pos="3456"/>
              </w:tabs>
              <w:ind w:left="99"/>
              <w:rPr>
                <w:sz w:val="20"/>
              </w:rPr>
            </w:pPr>
            <w:r>
              <w:rPr>
                <w:spacing w:val="6"/>
                <w:position w:val="118"/>
                <w:sz w:val="20"/>
              </w:rPr>
              <w:t xml:space="preserve"> </w:t>
            </w:r>
            <w:r w:rsidR="00154FA5">
              <w:rPr>
                <w:spacing w:val="6"/>
                <w:position w:val="118"/>
                <w:sz w:val="20"/>
              </w:rPr>
              <w:tab/>
              <w:t xml:space="preserve"> </w:t>
            </w:r>
          </w:p>
          <w:p w:rsidR="003D2524" w:rsidRDefault="00154FA5">
            <w:pPr>
              <w:pStyle w:val="TableParagraph"/>
              <w:spacing w:before="7"/>
              <w:rPr>
                <w:sz w:val="37"/>
              </w:rPr>
            </w:pPr>
            <w:r>
              <w:rPr>
                <w:noProof/>
                <w:sz w:val="37"/>
                <w:lang w:bidi="ar-SA"/>
              </w:rPr>
              <w:t xml:space="preserve">       </w:t>
            </w:r>
            <w:r>
              <w:rPr>
                <w:noProof/>
                <w:sz w:val="37"/>
                <w:lang w:bidi="ar-SA"/>
              </w:rPr>
              <w:drawing>
                <wp:inline distT="0" distB="0" distL="0" distR="0">
                  <wp:extent cx="2159607" cy="2512612"/>
                  <wp:effectExtent l="19050" t="0" r="0" b="0"/>
                  <wp:docPr id="4" name="Immagine 3" descr="D:\Documenti Claudia\lavori\SORS\Defocusing portatile su casi studio\DOGGIONO\Foto macro\IMG-20190724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i Claudia\lavori\SORS\Defocusing portatile su casi studio\DOGGIONO\Foto macro\IMG-20190724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07" cy="2512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sz w:val="37"/>
                <w:lang w:bidi="ar-SA"/>
              </w:rPr>
              <w:t xml:space="preserve">                    </w:t>
            </w:r>
            <w:r>
              <w:rPr>
                <w:noProof/>
                <w:sz w:val="37"/>
                <w:lang w:bidi="ar-SA"/>
              </w:rPr>
              <w:drawing>
                <wp:inline distT="0" distB="0" distL="0" distR="0">
                  <wp:extent cx="2035534" cy="2512612"/>
                  <wp:effectExtent l="19050" t="0" r="2816" b="0"/>
                  <wp:docPr id="5" name="Immagine 4" descr="D:\Documenti Claudia\lavori\SORS\Defocusing portatile su casi studio\DOGGIONO\Foto macro\IMG-20190724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i Claudia\lavori\SORS\Defocusing portatile su casi studio\DOGGIONO\Foto macro\IMG-20190724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745" t="12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534" cy="2512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524" w:rsidRDefault="0048381E" w:rsidP="00154FA5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Figura: Condizion</w:t>
            </w:r>
            <w:r w:rsidR="007F2B18">
              <w:rPr>
                <w:sz w:val="24"/>
              </w:rPr>
              <w:t xml:space="preserve">i operative dello spettrometro </w:t>
            </w:r>
            <w:proofErr w:type="spellStart"/>
            <w:r w:rsidR="007F2B18">
              <w:rPr>
                <w:sz w:val="24"/>
              </w:rPr>
              <w:t>Raman</w:t>
            </w:r>
            <w:proofErr w:type="spellEnd"/>
            <w:r>
              <w:rPr>
                <w:sz w:val="24"/>
              </w:rPr>
              <w:t xml:space="preserve"> durante misure in situ.</w:t>
            </w:r>
          </w:p>
        </w:tc>
      </w:tr>
    </w:tbl>
    <w:p w:rsidR="003D2524" w:rsidRDefault="009C7110">
      <w:pPr>
        <w:pStyle w:val="Corpodeltesto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2.85pt;height:126.5pt;mso-position-horizontal-relative:char;mso-position-vertical-relative:line" filled="f" strokeweight=".48pt">
            <v:textbox inset="0,0,0,0">
              <w:txbxContent>
                <w:p w:rsidR="003D2524" w:rsidRDefault="003D2524">
                  <w:pPr>
                    <w:pStyle w:val="Corpodeltesto"/>
                    <w:spacing w:before="11"/>
                    <w:rPr>
                      <w:sz w:val="23"/>
                    </w:rPr>
                  </w:pPr>
                </w:p>
                <w:p w:rsidR="003D2524" w:rsidRDefault="0048381E">
                  <w:pPr>
                    <w:spacing w:line="275" w:lineRule="exact"/>
                    <w:ind w:left="103"/>
                    <w:rPr>
                      <w:b/>
                      <w:sz w:val="24"/>
                    </w:rPr>
                  </w:pPr>
                  <w:r w:rsidRPr="007A25CD">
                    <w:rPr>
                      <w:b/>
                      <w:sz w:val="24"/>
                    </w:rPr>
                    <w:t>MAGGIORI INFORMAZIONI:</w:t>
                  </w:r>
                </w:p>
                <w:p w:rsidR="003D2524" w:rsidRPr="00154FA5" w:rsidRDefault="00154FA5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spacing w:before="1" w:line="237" w:lineRule="auto"/>
                    <w:ind w:right="103"/>
                    <w:jc w:val="both"/>
                    <w:rPr>
                      <w:lang w:val="en-US"/>
                    </w:rPr>
                  </w:pPr>
                  <w:r w:rsidRPr="00154FA5">
                    <w:rPr>
                      <w:lang w:val="en-US"/>
                    </w:rPr>
                    <w:t xml:space="preserve">A. Botteon, C. Colombo, M. Realini, C. Castiglioni, A. Piccirillo, P. Matousek, C. Conti </w:t>
                  </w:r>
                  <w:r w:rsidRPr="00154FA5">
                    <w:rPr>
                      <w:spacing w:val="-3"/>
                      <w:lang w:val="en-US"/>
                    </w:rPr>
                    <w:t>Non</w:t>
                  </w:r>
                  <w:r w:rsidRPr="00154FA5">
                    <w:rPr>
                      <w:rFonts w:ascii="Cambria Math" w:hAnsi="Cambria Math" w:cs="Cambria Math"/>
                      <w:spacing w:val="-3"/>
                      <w:lang w:val="en-US"/>
                    </w:rPr>
                    <w:t>‐</w:t>
                  </w:r>
                  <w:r w:rsidRPr="00154FA5">
                    <w:rPr>
                      <w:spacing w:val="-3"/>
                      <w:lang w:val="en-US"/>
                    </w:rPr>
                    <w:t>invasive and in situ investigation of layers sequence in panel paintings by portable micro</w:t>
                  </w:r>
                  <w:r w:rsidRPr="00154FA5">
                    <w:rPr>
                      <w:rFonts w:ascii="Cambria Math" w:hAnsi="Cambria Math" w:cs="Cambria Math"/>
                      <w:spacing w:val="-3"/>
                      <w:lang w:val="en-US"/>
                    </w:rPr>
                    <w:t>‐</w:t>
                  </w:r>
                  <w:r w:rsidRPr="00154FA5">
                    <w:rPr>
                      <w:spacing w:val="-3"/>
                      <w:lang w:val="en-US"/>
                    </w:rPr>
                    <w:t>spatially offset Raman spectroscopy</w:t>
                  </w:r>
                  <w:r w:rsidR="0048381E" w:rsidRPr="00154FA5">
                    <w:rPr>
                      <w:lang w:val="en-US"/>
                    </w:rPr>
                    <w:t xml:space="preserve">, </w:t>
                  </w:r>
                  <w:r w:rsidRPr="00154FA5">
                    <w:rPr>
                      <w:lang w:val="en-US"/>
                    </w:rPr>
                    <w:t xml:space="preserve">J. Raman </w:t>
                  </w:r>
                  <w:proofErr w:type="spellStart"/>
                  <w:r w:rsidRPr="00154FA5">
                    <w:rPr>
                      <w:lang w:val="en-US"/>
                    </w:rPr>
                    <w:t>Spectrosc</w:t>
                  </w:r>
                  <w:proofErr w:type="spellEnd"/>
                  <w:r w:rsidRPr="00154FA5">
                    <w:rPr>
                      <w:lang w:val="en-US"/>
                    </w:rPr>
                    <w:t>., 2020, 51 (10</w:t>
                  </w:r>
                  <w:r w:rsidR="0048381E" w:rsidRPr="00154FA5">
                    <w:rPr>
                      <w:lang w:val="en-US"/>
                    </w:rPr>
                    <w:t>),</w:t>
                  </w:r>
                  <w:r w:rsidR="0048381E" w:rsidRPr="00154FA5">
                    <w:rPr>
                      <w:spacing w:val="-7"/>
                      <w:lang w:val="en-US"/>
                    </w:rPr>
                    <w:t xml:space="preserve"> </w:t>
                  </w:r>
                  <w:r w:rsidRPr="00154FA5">
                    <w:rPr>
                      <w:lang w:val="en-US"/>
                    </w:rPr>
                    <w:t>2016-2021</w:t>
                  </w:r>
                </w:p>
                <w:p w:rsidR="003D2524" w:rsidRPr="0041493C" w:rsidRDefault="0041493C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spacing w:before="2"/>
                    <w:ind w:right="99"/>
                    <w:jc w:val="both"/>
                    <w:rPr>
                      <w:lang w:val="en-US"/>
                    </w:rPr>
                  </w:pPr>
                  <w:r w:rsidRPr="0041493C">
                    <w:rPr>
                      <w:lang w:val="en-US"/>
                    </w:rPr>
                    <w:t>D</w:t>
                  </w:r>
                  <w:r w:rsidR="00C91EE6">
                    <w:rPr>
                      <w:lang w:val="en-US"/>
                    </w:rPr>
                    <w:t>.</w:t>
                  </w:r>
                  <w:r w:rsidRPr="0041493C">
                    <w:rPr>
                      <w:lang w:val="en-US"/>
                    </w:rPr>
                    <w:t xml:space="preserve"> Bersani, C</w:t>
                  </w:r>
                  <w:r w:rsidR="00C91EE6">
                    <w:rPr>
                      <w:lang w:val="en-US"/>
                    </w:rPr>
                    <w:t>.</w:t>
                  </w:r>
                  <w:r w:rsidRPr="0041493C">
                    <w:rPr>
                      <w:lang w:val="en-US"/>
                    </w:rPr>
                    <w:t xml:space="preserve"> Conti, P</w:t>
                  </w:r>
                  <w:r w:rsidR="00C91EE6">
                    <w:rPr>
                      <w:lang w:val="en-US"/>
                    </w:rPr>
                    <w:t>.</w:t>
                  </w:r>
                  <w:r w:rsidRPr="0041493C">
                    <w:rPr>
                      <w:lang w:val="en-US"/>
                    </w:rPr>
                    <w:t xml:space="preserve"> Matousek, F</w:t>
                  </w:r>
                  <w:r w:rsidR="00C91EE6">
                    <w:rPr>
                      <w:lang w:val="en-US"/>
                    </w:rPr>
                    <w:t>.</w:t>
                  </w:r>
                  <w:r w:rsidRPr="0041493C">
                    <w:rPr>
                      <w:lang w:val="en-US"/>
                    </w:rPr>
                    <w:t xml:space="preserve"> Pozzi, </w:t>
                  </w:r>
                  <w:proofErr w:type="spellStart"/>
                  <w:r w:rsidRPr="0041493C">
                    <w:rPr>
                      <w:lang w:val="en-US"/>
                    </w:rPr>
                    <w:t>P</w:t>
                  </w:r>
                  <w:r w:rsidR="00C91EE6">
                    <w:rPr>
                      <w:lang w:val="en-US"/>
                    </w:rPr>
                    <w:t>.</w:t>
                  </w:r>
                  <w:r w:rsidRPr="0041493C">
                    <w:rPr>
                      <w:lang w:val="en-US"/>
                    </w:rPr>
                    <w:t>Vandenabeele</w:t>
                  </w:r>
                  <w:proofErr w:type="spellEnd"/>
                  <w:r w:rsidR="00C91EE6">
                    <w:rPr>
                      <w:lang w:val="en-US"/>
                    </w:rPr>
                    <w:t>,</w:t>
                  </w:r>
                  <w:r w:rsidRPr="0041493C">
                    <w:rPr>
                      <w:lang w:val="en-US"/>
                    </w:rPr>
                    <w:t xml:space="preserve"> Methodological evolutions of Raman spectroscopy in art and archaeology</w:t>
                  </w:r>
                  <w:r w:rsidR="0048381E" w:rsidRPr="0041493C">
                    <w:rPr>
                      <w:lang w:val="en-US"/>
                    </w:rPr>
                    <w:t xml:space="preserve">, </w:t>
                  </w:r>
                  <w:r w:rsidRPr="0041493C">
                    <w:rPr>
                      <w:lang w:val="en-US"/>
                    </w:rPr>
                    <w:t xml:space="preserve">Anal. Methods, </w:t>
                  </w:r>
                  <w:r w:rsidR="0048381E" w:rsidRPr="0041493C">
                    <w:rPr>
                      <w:lang w:val="en-US"/>
                    </w:rPr>
                    <w:t>201</w:t>
                  </w:r>
                  <w:r w:rsidRPr="0041493C">
                    <w:rPr>
                      <w:lang w:val="en-US"/>
                    </w:rPr>
                    <w:t>6</w:t>
                  </w:r>
                  <w:r w:rsidR="0048381E" w:rsidRPr="0041493C"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8</w:t>
                  </w:r>
                  <w:r w:rsidRPr="00154FA5"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48</w:t>
                  </w:r>
                  <w:r w:rsidRPr="00154FA5">
                    <w:rPr>
                      <w:lang w:val="en-US"/>
                    </w:rPr>
                    <w:t>),</w:t>
                  </w:r>
                  <w:r w:rsidRPr="00154FA5">
                    <w:rPr>
                      <w:spacing w:val="-7"/>
                      <w:lang w:val="en-US"/>
                    </w:rPr>
                    <w:t xml:space="preserve"> </w:t>
                  </w:r>
                  <w:r w:rsidRPr="0041493C">
                    <w:rPr>
                      <w:lang w:val="en-US"/>
                    </w:rPr>
                    <w:t>8395-8409</w:t>
                  </w:r>
                  <w:r>
                    <w:rPr>
                      <w:lang w:val="en-US"/>
                    </w:rPr>
                    <w:t xml:space="preserve">. </w:t>
                  </w:r>
                </w:p>
              </w:txbxContent>
            </v:textbox>
            <w10:wrap type="none"/>
            <w10:anchorlock/>
          </v:shape>
        </w:pict>
      </w:r>
    </w:p>
    <w:p w:rsidR="003D2524" w:rsidRDefault="003D2524">
      <w:pPr>
        <w:pStyle w:val="Corpodeltesto"/>
        <w:spacing w:before="6"/>
        <w:rPr>
          <w:sz w:val="26"/>
        </w:rPr>
      </w:pPr>
    </w:p>
    <w:p w:rsidR="003D2524" w:rsidRDefault="0048381E">
      <w:pPr>
        <w:spacing w:before="57"/>
        <w:ind w:left="212"/>
        <w:rPr>
          <w:rFonts w:ascii="Calibri"/>
        </w:rPr>
      </w:pPr>
      <w:r>
        <w:rPr>
          <w:rFonts w:ascii="Calibri"/>
        </w:rPr>
        <w:t xml:space="preserve">Referente: </w:t>
      </w:r>
      <w:r w:rsidR="00154FA5">
        <w:rPr>
          <w:rFonts w:ascii="Calibri"/>
        </w:rPr>
        <w:t>Claudia Conti</w:t>
      </w:r>
      <w:r>
        <w:rPr>
          <w:rFonts w:ascii="Calibri"/>
        </w:rPr>
        <w:t xml:space="preserve"> (</w:t>
      </w:r>
      <w:r w:rsidR="00154FA5">
        <w:rPr>
          <w:rFonts w:ascii="Calibri"/>
        </w:rPr>
        <w:t>claudia.conti</w:t>
      </w:r>
      <w:r>
        <w:rPr>
          <w:rFonts w:ascii="Calibri"/>
        </w:rPr>
        <w:t>@cnr.it)</w:t>
      </w:r>
    </w:p>
    <w:sectPr w:rsidR="003D2524" w:rsidSect="003D2524">
      <w:pgSz w:w="1191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0DEF"/>
    <w:multiLevelType w:val="hybridMultilevel"/>
    <w:tmpl w:val="51F0BE5A"/>
    <w:lvl w:ilvl="0" w:tplc="15D271F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C7023E6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AE80EA18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2E2CB4D6">
      <w:numFmt w:val="bullet"/>
      <w:lvlText w:val="•"/>
      <w:lvlJc w:val="left"/>
      <w:pPr>
        <w:ind w:left="3528" w:hanging="360"/>
      </w:pPr>
      <w:rPr>
        <w:rFonts w:hint="default"/>
        <w:lang w:val="it-IT" w:eastAsia="it-IT" w:bidi="it-IT"/>
      </w:rPr>
    </w:lvl>
    <w:lvl w:ilvl="4" w:tplc="ECECD154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2F48672C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6030697C">
      <w:numFmt w:val="bullet"/>
      <w:lvlText w:val="•"/>
      <w:lvlJc w:val="left"/>
      <w:pPr>
        <w:ind w:left="6236" w:hanging="360"/>
      </w:pPr>
      <w:rPr>
        <w:rFonts w:hint="default"/>
        <w:lang w:val="it-IT" w:eastAsia="it-IT" w:bidi="it-IT"/>
      </w:rPr>
    </w:lvl>
    <w:lvl w:ilvl="7" w:tplc="3C4CA502">
      <w:numFmt w:val="bullet"/>
      <w:lvlText w:val="•"/>
      <w:lvlJc w:val="left"/>
      <w:pPr>
        <w:ind w:left="7139" w:hanging="360"/>
      </w:pPr>
      <w:rPr>
        <w:rFonts w:hint="default"/>
        <w:lang w:val="it-IT" w:eastAsia="it-IT" w:bidi="it-IT"/>
      </w:rPr>
    </w:lvl>
    <w:lvl w:ilvl="8" w:tplc="E0302A34">
      <w:numFmt w:val="bullet"/>
      <w:lvlText w:val="•"/>
      <w:lvlJc w:val="left"/>
      <w:pPr>
        <w:ind w:left="804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D2524"/>
    <w:rsid w:val="000372A7"/>
    <w:rsid w:val="000C1349"/>
    <w:rsid w:val="00154FA5"/>
    <w:rsid w:val="00190115"/>
    <w:rsid w:val="00276F45"/>
    <w:rsid w:val="003D2524"/>
    <w:rsid w:val="0041493C"/>
    <w:rsid w:val="0048381E"/>
    <w:rsid w:val="005D2224"/>
    <w:rsid w:val="0067095E"/>
    <w:rsid w:val="0067215D"/>
    <w:rsid w:val="006B7D29"/>
    <w:rsid w:val="007A25CD"/>
    <w:rsid w:val="007D1A50"/>
    <w:rsid w:val="007F2B18"/>
    <w:rsid w:val="00834BE7"/>
    <w:rsid w:val="009C7110"/>
    <w:rsid w:val="00A04972"/>
    <w:rsid w:val="00B55D4B"/>
    <w:rsid w:val="00C91EE6"/>
    <w:rsid w:val="00D31563"/>
    <w:rsid w:val="00E151A8"/>
    <w:rsid w:val="00E27763"/>
    <w:rsid w:val="00ED14E0"/>
    <w:rsid w:val="00F2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52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252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524"/>
  </w:style>
  <w:style w:type="paragraph" w:customStyle="1" w:styleId="TableParagraph">
    <w:name w:val="Table Paragraph"/>
    <w:basedOn w:val="Normale"/>
    <w:uiPriority w:val="1"/>
    <w:qFormat/>
    <w:rsid w:val="003D25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2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2A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lucia">
    <w:name w:val="lucia"/>
    <w:basedOn w:val="Normale"/>
    <w:rsid w:val="00D3156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6709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095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095E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9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0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3E9E4-7A98-443A-A5DB-F1598511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CNR</cp:lastModifiedBy>
  <cp:revision>2</cp:revision>
  <dcterms:created xsi:type="dcterms:W3CDTF">2020-10-22T10:32:00Z</dcterms:created>
  <dcterms:modified xsi:type="dcterms:W3CDTF">2020-10-22T10:32:00Z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