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7"/>
      </w:tblGrid>
      <w:tr w:rsidR="003A7089" w14:paraId="49342C20" w14:textId="77777777">
        <w:trPr>
          <w:trHeight w:val="563"/>
        </w:trPr>
        <w:tc>
          <w:tcPr>
            <w:tcW w:w="9857" w:type="dxa"/>
          </w:tcPr>
          <w:p w14:paraId="667C4A1D" w14:textId="77777777" w:rsidR="003A7089" w:rsidRDefault="007666E9">
            <w:pPr>
              <w:pStyle w:val="TableParagraph"/>
              <w:spacing w:line="273" w:lineRule="exact"/>
              <w:ind w:left="2358" w:right="2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STRUMENTAZIONE MOLAB: DESCRIZIONE</w:t>
            </w:r>
          </w:p>
        </w:tc>
      </w:tr>
      <w:tr w:rsidR="003A7089" w14:paraId="63948B96" w14:textId="77777777">
        <w:trPr>
          <w:trHeight w:val="275"/>
        </w:trPr>
        <w:tc>
          <w:tcPr>
            <w:tcW w:w="9857" w:type="dxa"/>
          </w:tcPr>
          <w:p w14:paraId="718DAF8C" w14:textId="77777777" w:rsidR="003A7089" w:rsidRDefault="007666E9" w:rsidP="000B49E9">
            <w:pPr>
              <w:pStyle w:val="TableParagraph"/>
              <w:spacing w:line="256" w:lineRule="exact"/>
              <w:ind w:left="2358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LABORATORIO: CNR-</w:t>
            </w:r>
            <w:r w:rsidR="000B49E9">
              <w:rPr>
                <w:b/>
                <w:sz w:val="24"/>
              </w:rPr>
              <w:t>SCITEC</w:t>
            </w:r>
          </w:p>
        </w:tc>
      </w:tr>
      <w:tr w:rsidR="003A7089" w14:paraId="7D2A48A4" w14:textId="77777777">
        <w:trPr>
          <w:trHeight w:val="1379"/>
        </w:trPr>
        <w:tc>
          <w:tcPr>
            <w:tcW w:w="9857" w:type="dxa"/>
          </w:tcPr>
          <w:p w14:paraId="54BBF1E7" w14:textId="77777777" w:rsidR="003A7089" w:rsidRDefault="003A7089">
            <w:pPr>
              <w:pStyle w:val="TableParagraph"/>
              <w:spacing w:before="5"/>
              <w:rPr>
                <w:sz w:val="23"/>
              </w:rPr>
            </w:pPr>
          </w:p>
          <w:p w14:paraId="493C00C9" w14:textId="77777777" w:rsidR="003A7089" w:rsidRDefault="007666E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 STRUMENTO</w:t>
            </w:r>
          </w:p>
          <w:p w14:paraId="1DF6FF01" w14:textId="77777777" w:rsidR="003A7089" w:rsidRDefault="003A7089">
            <w:pPr>
              <w:pStyle w:val="TableParagraph"/>
              <w:spacing w:before="7"/>
              <w:rPr>
                <w:sz w:val="23"/>
              </w:rPr>
            </w:pPr>
          </w:p>
          <w:p w14:paraId="27A196FE" w14:textId="77777777" w:rsidR="003A7089" w:rsidRDefault="004E028C" w:rsidP="004E028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Spettroscopia di fluorescenza a raggi X in scansione - MAXRF</w:t>
            </w:r>
            <w:r w:rsidR="007666E9">
              <w:rPr>
                <w:sz w:val="24"/>
              </w:rPr>
              <w:t xml:space="preserve">: </w:t>
            </w:r>
            <w:r>
              <w:rPr>
                <w:sz w:val="24"/>
              </w:rPr>
              <w:t>CRONO</w:t>
            </w:r>
          </w:p>
        </w:tc>
      </w:tr>
      <w:tr w:rsidR="003A7089" w:rsidRPr="00F92CF5" w14:paraId="419C7F8E" w14:textId="77777777">
        <w:trPr>
          <w:trHeight w:val="2760"/>
        </w:trPr>
        <w:tc>
          <w:tcPr>
            <w:tcW w:w="9857" w:type="dxa"/>
          </w:tcPr>
          <w:p w14:paraId="5A31A886" w14:textId="77777777" w:rsidR="003A7089" w:rsidRDefault="003A7089">
            <w:pPr>
              <w:pStyle w:val="TableParagraph"/>
              <w:spacing w:before="5"/>
              <w:rPr>
                <w:sz w:val="23"/>
              </w:rPr>
            </w:pPr>
          </w:p>
          <w:p w14:paraId="3E1AFAB7" w14:textId="77777777" w:rsidR="003A7089" w:rsidRDefault="007666E9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 GENERALI:</w:t>
            </w:r>
          </w:p>
          <w:p w14:paraId="2C1116BF" w14:textId="77777777" w:rsidR="00F92CF5" w:rsidRPr="00F92CF5" w:rsidRDefault="00F92CF5" w:rsidP="00EB59E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14:paraId="26A2762E" w14:textId="77777777" w:rsidR="003A7089" w:rsidRPr="009D08F6" w:rsidRDefault="000B49E9" w:rsidP="00053BB4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0B49E9">
              <w:rPr>
                <w:sz w:val="24"/>
              </w:rPr>
              <w:t xml:space="preserve">La spettroscopia </w:t>
            </w:r>
            <w:r w:rsidR="004E028C">
              <w:rPr>
                <w:sz w:val="24"/>
              </w:rPr>
              <w:t xml:space="preserve">di fluorescenza a raggi X (XRF) </w:t>
            </w:r>
            <w:r w:rsidR="00053BB4">
              <w:rPr>
                <w:sz w:val="24"/>
              </w:rPr>
              <w:t xml:space="preserve">a scansione </w:t>
            </w:r>
            <w:r w:rsidR="004E028C" w:rsidRPr="004E028C">
              <w:rPr>
                <w:sz w:val="24"/>
              </w:rPr>
              <w:t>consente la mappatura multi-element</w:t>
            </w:r>
            <w:r w:rsidR="00053BB4">
              <w:rPr>
                <w:sz w:val="24"/>
              </w:rPr>
              <w:t>ale</w:t>
            </w:r>
            <w:r w:rsidR="004E028C">
              <w:rPr>
                <w:sz w:val="24"/>
              </w:rPr>
              <w:t xml:space="preserve"> </w:t>
            </w:r>
            <w:r w:rsidR="004E028C" w:rsidRPr="00053BB4">
              <w:rPr>
                <w:sz w:val="24"/>
              </w:rPr>
              <w:t>(</w:t>
            </w:r>
            <w:r w:rsidR="00053BB4">
              <w:rPr>
                <w:sz w:val="24"/>
              </w:rPr>
              <w:t xml:space="preserve">elementi </w:t>
            </w:r>
            <w:r w:rsidR="004E028C" w:rsidRPr="00053BB4">
              <w:rPr>
                <w:sz w:val="24"/>
              </w:rPr>
              <w:t xml:space="preserve">con numero atomico Z&gt;12) </w:t>
            </w:r>
            <w:r w:rsidR="00053BB4">
              <w:rPr>
                <w:sz w:val="24"/>
              </w:rPr>
              <w:t xml:space="preserve">di </w:t>
            </w:r>
            <w:r w:rsidR="00053BB4" w:rsidRPr="004E028C">
              <w:rPr>
                <w:sz w:val="24"/>
              </w:rPr>
              <w:t>macro</w:t>
            </w:r>
            <w:r w:rsidR="00053BB4">
              <w:rPr>
                <w:sz w:val="24"/>
              </w:rPr>
              <w:t>-aree sulla superficie di un manufatto</w:t>
            </w:r>
            <w:r w:rsidR="00053BB4" w:rsidRPr="004E028C">
              <w:rPr>
                <w:sz w:val="24"/>
              </w:rPr>
              <w:t xml:space="preserve"> </w:t>
            </w:r>
            <w:r w:rsidR="004E028C" w:rsidRPr="004E028C">
              <w:rPr>
                <w:sz w:val="24"/>
              </w:rPr>
              <w:t xml:space="preserve">in modo non invasivo. Le mappe di distribuzione elementare sono di grande interesse </w:t>
            </w:r>
            <w:r w:rsidR="00053BB4">
              <w:rPr>
                <w:sz w:val="24"/>
              </w:rPr>
              <w:t xml:space="preserve">nell’ambito </w:t>
            </w:r>
            <w:r w:rsidR="004E028C" w:rsidRPr="004E028C">
              <w:rPr>
                <w:sz w:val="24"/>
              </w:rPr>
              <w:t xml:space="preserve">della scienza del patrimonio </w:t>
            </w:r>
            <w:r w:rsidR="00053BB4">
              <w:rPr>
                <w:sz w:val="24"/>
              </w:rPr>
              <w:t xml:space="preserve">culturale </w:t>
            </w:r>
            <w:r w:rsidR="004E028C" w:rsidRPr="004E028C">
              <w:rPr>
                <w:sz w:val="24"/>
              </w:rPr>
              <w:t>per l'esame di</w:t>
            </w:r>
            <w:r w:rsidR="00053BB4">
              <w:rPr>
                <w:sz w:val="24"/>
              </w:rPr>
              <w:t xml:space="preserve"> superfici policrome o di </w:t>
            </w:r>
            <w:r w:rsidR="004E028C" w:rsidRPr="004E028C">
              <w:rPr>
                <w:sz w:val="24"/>
              </w:rPr>
              <w:t xml:space="preserve">inchiostri </w:t>
            </w:r>
            <w:r w:rsidR="00053BB4">
              <w:rPr>
                <w:sz w:val="24"/>
              </w:rPr>
              <w:t>in</w:t>
            </w:r>
            <w:r w:rsidR="004E028C" w:rsidRPr="004E028C">
              <w:rPr>
                <w:sz w:val="24"/>
              </w:rPr>
              <w:t xml:space="preserve"> documenti storici. </w:t>
            </w:r>
          </w:p>
        </w:tc>
      </w:tr>
      <w:tr w:rsidR="003A7089" w14:paraId="02C18D7E" w14:textId="77777777" w:rsidTr="00E07D59">
        <w:trPr>
          <w:trHeight w:val="6653"/>
        </w:trPr>
        <w:tc>
          <w:tcPr>
            <w:tcW w:w="9857" w:type="dxa"/>
          </w:tcPr>
          <w:p w14:paraId="2BD630F2" w14:textId="77777777" w:rsidR="003A7089" w:rsidRPr="009D08F6" w:rsidRDefault="003A7089">
            <w:pPr>
              <w:pStyle w:val="TableParagraph"/>
              <w:spacing w:before="5"/>
              <w:rPr>
                <w:sz w:val="23"/>
              </w:rPr>
            </w:pPr>
          </w:p>
          <w:p w14:paraId="53207CE5" w14:textId="77777777" w:rsidR="003A7089" w:rsidRDefault="007666E9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DETTAGLI TECNICI:</w:t>
            </w:r>
          </w:p>
          <w:p w14:paraId="206433E3" w14:textId="77777777" w:rsidR="003A7089" w:rsidRDefault="00053BB4" w:rsidP="00D14FDC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053BB4">
              <w:rPr>
                <w:sz w:val="24"/>
              </w:rPr>
              <w:t xml:space="preserve">Il sistema macro-XRF </w:t>
            </w:r>
            <w:r w:rsidRPr="004E028C">
              <w:rPr>
                <w:sz w:val="24"/>
              </w:rPr>
              <w:t xml:space="preserve">Crono </w:t>
            </w:r>
            <w:r w:rsidRPr="00053BB4">
              <w:rPr>
                <w:sz w:val="24"/>
              </w:rPr>
              <w:t xml:space="preserve">di </w:t>
            </w:r>
            <w:proofErr w:type="spellStart"/>
            <w:r w:rsidRPr="00053BB4">
              <w:rPr>
                <w:sz w:val="24"/>
              </w:rPr>
              <w:t>XGLab</w:t>
            </w:r>
            <w:proofErr w:type="spellEnd"/>
            <w:r w:rsidRPr="00053BB4">
              <w:rPr>
                <w:sz w:val="24"/>
              </w:rPr>
              <w:t xml:space="preserve"> </w:t>
            </w:r>
            <w:r w:rsidR="004E028C">
              <w:rPr>
                <w:sz w:val="24"/>
              </w:rPr>
              <w:t xml:space="preserve">consente misure XRF in </w:t>
            </w:r>
            <w:r w:rsidR="004E028C" w:rsidRPr="004E028C">
              <w:rPr>
                <w:sz w:val="24"/>
              </w:rPr>
              <w:t xml:space="preserve">scansione </w:t>
            </w:r>
            <w:r w:rsidR="004E028C">
              <w:rPr>
                <w:sz w:val="24"/>
              </w:rPr>
              <w:t>in modo non invasivo ed</w:t>
            </w:r>
            <w:r w:rsidR="004E028C" w:rsidRPr="004E028C">
              <w:rPr>
                <w:sz w:val="24"/>
              </w:rPr>
              <w:t xml:space="preserve"> </w:t>
            </w:r>
            <w:r w:rsidR="004E028C">
              <w:rPr>
                <w:sz w:val="24"/>
              </w:rPr>
              <w:t>in situ per la ricostruzione di mappe di distribuzione elementali dei materiali compositivi di un manufatto</w:t>
            </w:r>
            <w:r w:rsidR="004E028C" w:rsidRPr="004E028C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Lo strumento </w:t>
            </w:r>
            <w:r w:rsidRPr="00053BB4">
              <w:rPr>
                <w:sz w:val="24"/>
              </w:rPr>
              <w:t>è dotato di una testa di misura compatta</w:t>
            </w:r>
            <w:r>
              <w:rPr>
                <w:sz w:val="24"/>
              </w:rPr>
              <w:t xml:space="preserve"> e leggera</w:t>
            </w:r>
            <w:r w:rsidRPr="00053BB4">
              <w:rPr>
                <w:sz w:val="24"/>
              </w:rPr>
              <w:t xml:space="preserve"> composta da una sorgente </w:t>
            </w:r>
            <w:r w:rsidR="00A03D98">
              <w:rPr>
                <w:sz w:val="24"/>
              </w:rPr>
              <w:t>a</w:t>
            </w:r>
            <w:r w:rsidRPr="00053BB4">
              <w:rPr>
                <w:sz w:val="24"/>
              </w:rPr>
              <w:t xml:space="preserve"> raggi X con anodo Rh (50kV e 200µA) e da un Silicon </w:t>
            </w:r>
            <w:proofErr w:type="spellStart"/>
            <w:r w:rsidRPr="00053BB4">
              <w:rPr>
                <w:sz w:val="24"/>
              </w:rPr>
              <w:t>Drift</w:t>
            </w:r>
            <w:proofErr w:type="spellEnd"/>
            <w:r w:rsidRPr="00053BB4">
              <w:rPr>
                <w:sz w:val="24"/>
              </w:rPr>
              <w:t xml:space="preserve"> Detector (SDD) (50 mm</w:t>
            </w:r>
            <w:r w:rsidRPr="00053BB4">
              <w:rPr>
                <w:sz w:val="24"/>
                <w:vertAlign w:val="superscript"/>
              </w:rPr>
              <w:t>2</w:t>
            </w:r>
            <w:r w:rsidRPr="00053BB4">
              <w:rPr>
                <w:sz w:val="24"/>
              </w:rPr>
              <w:t xml:space="preserve">, risoluzione di 130eV a </w:t>
            </w:r>
            <w:proofErr w:type="spellStart"/>
            <w:r w:rsidRPr="00053BB4">
              <w:rPr>
                <w:sz w:val="24"/>
              </w:rPr>
              <w:t>MnK</w:t>
            </w:r>
            <w:proofErr w:type="spellEnd"/>
            <w:r w:rsidRPr="00053BB4">
              <w:rPr>
                <w:sz w:val="24"/>
              </w:rPr>
              <w:t>α)</w:t>
            </w:r>
            <w:r w:rsidR="00A03D98">
              <w:rPr>
                <w:sz w:val="24"/>
              </w:rPr>
              <w:t xml:space="preserve"> interfacciato ad un</w:t>
            </w:r>
            <w:r w:rsidR="00A03D98" w:rsidRPr="00053BB4">
              <w:rPr>
                <w:sz w:val="24"/>
              </w:rPr>
              <w:t xml:space="preserve">'elettronica digitale </w:t>
            </w:r>
            <w:r w:rsidR="00A03D98">
              <w:rPr>
                <w:sz w:val="24"/>
              </w:rPr>
              <w:t xml:space="preserve">estremamente </w:t>
            </w:r>
            <w:r w:rsidR="00A03D98" w:rsidRPr="00053BB4">
              <w:rPr>
                <w:sz w:val="24"/>
              </w:rPr>
              <w:t>veloce</w:t>
            </w:r>
            <w:r w:rsidR="00A03D98">
              <w:rPr>
                <w:sz w:val="24"/>
              </w:rPr>
              <w:t>. Il sistema è dotato di un video microscopio integrato per</w:t>
            </w:r>
            <w:r>
              <w:rPr>
                <w:sz w:val="24"/>
              </w:rPr>
              <w:t xml:space="preserve"> selezionare</w:t>
            </w:r>
            <w:r w:rsidRPr="00053BB4">
              <w:rPr>
                <w:sz w:val="24"/>
              </w:rPr>
              <w:t xml:space="preserve"> l'area </w:t>
            </w:r>
            <w:r>
              <w:rPr>
                <w:sz w:val="24"/>
              </w:rPr>
              <w:t>da esaminare</w:t>
            </w:r>
            <w:r w:rsidRPr="00053BB4">
              <w:rPr>
                <w:sz w:val="24"/>
              </w:rPr>
              <w:t xml:space="preserve">, mentre </w:t>
            </w:r>
            <w:r>
              <w:rPr>
                <w:sz w:val="24"/>
              </w:rPr>
              <w:t>due puntatori</w:t>
            </w:r>
            <w:r w:rsidRPr="00053BB4">
              <w:rPr>
                <w:sz w:val="24"/>
              </w:rPr>
              <w:t xml:space="preserve"> laser </w:t>
            </w:r>
            <w:r w:rsidR="00A03D98">
              <w:rPr>
                <w:sz w:val="24"/>
              </w:rPr>
              <w:t xml:space="preserve">consentono di controllare la </w:t>
            </w:r>
            <w:r w:rsidR="00A03D98" w:rsidRPr="00053BB4">
              <w:rPr>
                <w:sz w:val="24"/>
              </w:rPr>
              <w:t xml:space="preserve">distanza </w:t>
            </w:r>
            <w:r w:rsidR="00A03D98">
              <w:rPr>
                <w:sz w:val="24"/>
              </w:rPr>
              <w:t>della testa</w:t>
            </w:r>
            <w:r w:rsidRPr="00053BB4">
              <w:rPr>
                <w:sz w:val="24"/>
              </w:rPr>
              <w:t xml:space="preserve"> </w:t>
            </w:r>
            <w:r w:rsidR="00A03D98">
              <w:rPr>
                <w:sz w:val="24"/>
              </w:rPr>
              <w:t>di misura a</w:t>
            </w:r>
            <w:r w:rsidRPr="00053BB4">
              <w:rPr>
                <w:sz w:val="24"/>
              </w:rPr>
              <w:t xml:space="preserve"> 10 mm</w:t>
            </w:r>
            <w:r w:rsidR="00A03D98">
              <w:rPr>
                <w:sz w:val="24"/>
              </w:rPr>
              <w:t xml:space="preserve"> dalla superficie</w:t>
            </w:r>
            <w:r w:rsidRPr="00053BB4">
              <w:rPr>
                <w:sz w:val="24"/>
              </w:rPr>
              <w:t xml:space="preserve">. Il fascio di raggi X può essere collimato sulla superficie del campione </w:t>
            </w:r>
            <w:r w:rsidR="00D14FDC">
              <w:rPr>
                <w:sz w:val="24"/>
              </w:rPr>
              <w:t>ad un</w:t>
            </w:r>
            <w:r w:rsidR="00A03D98">
              <w:rPr>
                <w:sz w:val="24"/>
              </w:rPr>
              <w:t xml:space="preserve"> </w:t>
            </w:r>
            <w:r w:rsidRPr="00053BB4">
              <w:rPr>
                <w:sz w:val="24"/>
              </w:rPr>
              <w:t>diametro di 0,5, 1 o 2 mm</w:t>
            </w:r>
            <w:r w:rsidR="00A03D98">
              <w:rPr>
                <w:sz w:val="24"/>
              </w:rPr>
              <w:t>,</w:t>
            </w:r>
            <w:r w:rsidRPr="00053BB4">
              <w:rPr>
                <w:sz w:val="24"/>
              </w:rPr>
              <w:t xml:space="preserve"> </w:t>
            </w:r>
            <w:r w:rsidR="00A03D98">
              <w:rPr>
                <w:sz w:val="24"/>
              </w:rPr>
              <w:t>selezionabile in remoto da pc</w:t>
            </w:r>
            <w:r w:rsidR="00D14FDC">
              <w:rPr>
                <w:sz w:val="24"/>
              </w:rPr>
              <w:t xml:space="preserve"> mediante u</w:t>
            </w:r>
            <w:r w:rsidR="00D14FDC" w:rsidRPr="00053BB4">
              <w:rPr>
                <w:sz w:val="24"/>
              </w:rPr>
              <w:t>n software d</w:t>
            </w:r>
            <w:r w:rsidR="00D14FDC">
              <w:rPr>
                <w:sz w:val="24"/>
              </w:rPr>
              <w:t>edicato per l’acquisizione</w:t>
            </w:r>
            <w:r w:rsidRPr="00053BB4">
              <w:rPr>
                <w:sz w:val="24"/>
              </w:rPr>
              <w:t xml:space="preserve">. </w:t>
            </w:r>
            <w:r w:rsidR="00D14FDC" w:rsidRPr="00053BB4">
              <w:rPr>
                <w:sz w:val="24"/>
              </w:rPr>
              <w:t>La testa è montata su un telaio motorizzato XYZ (area di scansione 45 × 60 cm</w:t>
            </w:r>
            <w:r w:rsidR="00D14FDC" w:rsidRPr="00A03D98">
              <w:rPr>
                <w:sz w:val="24"/>
                <w:vertAlign w:val="superscript"/>
              </w:rPr>
              <w:t>2</w:t>
            </w:r>
            <w:r w:rsidR="00D14FDC" w:rsidRPr="00053BB4">
              <w:rPr>
                <w:sz w:val="24"/>
              </w:rPr>
              <w:t>) con movime</w:t>
            </w:r>
            <w:r w:rsidR="00D14FDC">
              <w:rPr>
                <w:sz w:val="24"/>
              </w:rPr>
              <w:t>nto continuo in scansione</w:t>
            </w:r>
            <w:r w:rsidR="00D14FDC" w:rsidRPr="00053BB4">
              <w:rPr>
                <w:sz w:val="24"/>
              </w:rPr>
              <w:t>.</w:t>
            </w:r>
            <w:r w:rsidR="00D14FDC">
              <w:rPr>
                <w:sz w:val="24"/>
              </w:rPr>
              <w:t xml:space="preserve"> </w:t>
            </w:r>
            <w:r w:rsidR="00D14FDC" w:rsidRPr="004E028C">
              <w:rPr>
                <w:sz w:val="24"/>
              </w:rPr>
              <w:t xml:space="preserve">Il </w:t>
            </w:r>
            <w:r w:rsidR="00D14FDC">
              <w:rPr>
                <w:sz w:val="24"/>
              </w:rPr>
              <w:t>telaio</w:t>
            </w:r>
            <w:r w:rsidR="00D14FDC" w:rsidRPr="004E028C">
              <w:rPr>
                <w:sz w:val="24"/>
              </w:rPr>
              <w:t xml:space="preserve"> </w:t>
            </w:r>
            <w:r w:rsidR="00D14FDC">
              <w:rPr>
                <w:sz w:val="24"/>
              </w:rPr>
              <w:t>è</w:t>
            </w:r>
            <w:r w:rsidR="00D14FDC" w:rsidRPr="004E028C">
              <w:rPr>
                <w:sz w:val="24"/>
              </w:rPr>
              <w:t xml:space="preserve"> montato su un carrello</w:t>
            </w:r>
            <w:r w:rsidR="00D14FDC">
              <w:rPr>
                <w:sz w:val="24"/>
              </w:rPr>
              <w:t xml:space="preserve"> </w:t>
            </w:r>
            <w:r w:rsidR="00D14FDC" w:rsidRPr="004E028C">
              <w:rPr>
                <w:sz w:val="24"/>
              </w:rPr>
              <w:t>che consente l’inclinazione della struttura tra -20° e +90° rispetto al piano orizzontale</w:t>
            </w:r>
            <w:r w:rsidR="00D14FDC">
              <w:rPr>
                <w:sz w:val="24"/>
              </w:rPr>
              <w:t>.</w:t>
            </w:r>
            <w:r w:rsidR="00D14FDC" w:rsidRPr="00053BB4">
              <w:rPr>
                <w:sz w:val="24"/>
              </w:rPr>
              <w:t xml:space="preserve"> </w:t>
            </w:r>
            <w:r w:rsidR="00D14FDC">
              <w:rPr>
                <w:sz w:val="24"/>
              </w:rPr>
              <w:t>L</w:t>
            </w:r>
            <w:r w:rsidR="004E028C" w:rsidRPr="004E028C">
              <w:rPr>
                <w:sz w:val="24"/>
              </w:rPr>
              <w:t>a velocità di scansione può arrivare fino a 45</w:t>
            </w:r>
            <w:r w:rsidR="00D14FDC">
              <w:rPr>
                <w:sz w:val="24"/>
              </w:rPr>
              <w:t xml:space="preserve"> </w:t>
            </w:r>
            <w:r w:rsidR="004E028C" w:rsidRPr="004E028C">
              <w:rPr>
                <w:sz w:val="24"/>
              </w:rPr>
              <w:t xml:space="preserve">mm/sec, con un tempo di scansione che varia da poche </w:t>
            </w:r>
            <w:r w:rsidR="00D14FDC">
              <w:rPr>
                <w:sz w:val="24"/>
              </w:rPr>
              <w:t xml:space="preserve">decine di minuti a poche ore, in funzione </w:t>
            </w:r>
            <w:r w:rsidR="004E028C" w:rsidRPr="004E028C">
              <w:rPr>
                <w:sz w:val="24"/>
              </w:rPr>
              <w:t>della risoluzione spaziale</w:t>
            </w:r>
            <w:r w:rsidR="00D14FDC">
              <w:rPr>
                <w:sz w:val="24"/>
              </w:rPr>
              <w:t xml:space="preserve"> e</w:t>
            </w:r>
            <w:r w:rsidR="004E028C" w:rsidRPr="004E028C">
              <w:rPr>
                <w:sz w:val="24"/>
              </w:rPr>
              <w:t xml:space="preserve"> dell’area </w:t>
            </w:r>
            <w:r w:rsidR="00D14FDC">
              <w:rPr>
                <w:sz w:val="24"/>
              </w:rPr>
              <w:t>da scansionare</w:t>
            </w:r>
            <w:r w:rsidR="004E028C" w:rsidRPr="004E028C">
              <w:rPr>
                <w:sz w:val="24"/>
              </w:rPr>
              <w:t>.</w:t>
            </w:r>
          </w:p>
          <w:p w14:paraId="3F274503" w14:textId="77777777" w:rsidR="00D14FDC" w:rsidRDefault="00D14FDC" w:rsidP="00D14FDC">
            <w:pPr>
              <w:pStyle w:val="TableParagraph"/>
              <w:ind w:left="107" w:right="96"/>
              <w:jc w:val="both"/>
              <w:rPr>
                <w:sz w:val="37"/>
              </w:rPr>
            </w:pPr>
          </w:p>
          <w:p w14:paraId="608F4ABF" w14:textId="77777777" w:rsidR="00166153" w:rsidRPr="009D08F6" w:rsidRDefault="007666E9" w:rsidP="00EC2745">
            <w:pPr>
              <w:pStyle w:val="TableParagraph"/>
              <w:ind w:left="107"/>
              <w:jc w:val="both"/>
              <w:rPr>
                <w:noProof/>
                <w:sz w:val="24"/>
                <w:lang w:eastAsia="en-GB" w:bidi="ar-SA"/>
              </w:rPr>
            </w:pPr>
            <w:r>
              <w:rPr>
                <w:sz w:val="24"/>
              </w:rPr>
              <w:t xml:space="preserve">Figura: </w:t>
            </w:r>
            <w:r w:rsidR="00E07D59">
              <w:rPr>
                <w:sz w:val="24"/>
              </w:rPr>
              <w:t>Esempi</w:t>
            </w:r>
            <w:r w:rsidR="00D14FDC">
              <w:rPr>
                <w:sz w:val="24"/>
              </w:rPr>
              <w:t xml:space="preserve"> di misure MA-XRF in situ con la strumentazione CRONO</w:t>
            </w:r>
            <w:r w:rsidR="00E07D59">
              <w:rPr>
                <w:sz w:val="24"/>
              </w:rPr>
              <w:t xml:space="preserve"> a) studio del Codice </w:t>
            </w:r>
            <w:proofErr w:type="spellStart"/>
            <w:r w:rsidR="00E07D59">
              <w:rPr>
                <w:sz w:val="24"/>
              </w:rPr>
              <w:t>Cospi</w:t>
            </w:r>
            <w:proofErr w:type="spellEnd"/>
            <w:r w:rsidR="00E07D59">
              <w:rPr>
                <w:sz w:val="24"/>
              </w:rPr>
              <w:t xml:space="preserve"> un </w:t>
            </w:r>
            <w:r w:rsidR="00E07D59" w:rsidRPr="00E07D59">
              <w:rPr>
                <w:sz w:val="24"/>
              </w:rPr>
              <w:t>manoscritto precolombiano</w:t>
            </w:r>
            <w:r w:rsidR="00E07D59">
              <w:rPr>
                <w:sz w:val="24"/>
              </w:rPr>
              <w:t xml:space="preserve"> conservato</w:t>
            </w:r>
            <w:r w:rsidR="00E07D59" w:rsidRPr="00E07D59">
              <w:rPr>
                <w:sz w:val="24"/>
              </w:rPr>
              <w:t xml:space="preserve"> </w:t>
            </w:r>
            <w:r w:rsidR="00E07D59">
              <w:rPr>
                <w:sz w:val="24"/>
              </w:rPr>
              <w:t>presso la Biblioteca Universitaria di Bologna e b) il dipinto l’Urlo di E. Munch conservato presso il museo di Munch di Oslo;</w:t>
            </w:r>
            <w:r w:rsidR="008E75A9">
              <w:rPr>
                <w:sz w:val="24"/>
              </w:rPr>
              <w:t xml:space="preserve"> </w:t>
            </w:r>
            <w:r w:rsidR="00E07D59">
              <w:rPr>
                <w:sz w:val="24"/>
              </w:rPr>
              <w:t>c</w:t>
            </w:r>
            <w:r w:rsidR="008E75A9">
              <w:rPr>
                <w:sz w:val="24"/>
              </w:rPr>
              <w:t xml:space="preserve">) </w:t>
            </w:r>
            <w:r w:rsidR="00E07D59">
              <w:rPr>
                <w:sz w:val="24"/>
              </w:rPr>
              <w:t>e</w:t>
            </w:r>
            <w:r w:rsidR="00D14FDC">
              <w:rPr>
                <w:sz w:val="24"/>
              </w:rPr>
              <w:t>sempio di ricostruzione di mappe elementar</w:t>
            </w:r>
            <w:r w:rsidR="00E07D59">
              <w:rPr>
                <w:sz w:val="24"/>
              </w:rPr>
              <w:t>e</w:t>
            </w:r>
            <w:r w:rsidR="00D14FDC">
              <w:rPr>
                <w:sz w:val="24"/>
              </w:rPr>
              <w:t xml:space="preserve"> acquisit</w:t>
            </w:r>
            <w:r w:rsidR="00E07D59">
              <w:rPr>
                <w:sz w:val="24"/>
              </w:rPr>
              <w:t>a</w:t>
            </w:r>
            <w:r w:rsidR="00D14FDC">
              <w:rPr>
                <w:sz w:val="24"/>
              </w:rPr>
              <w:t xml:space="preserve"> mediante CRONO su</w:t>
            </w:r>
            <w:r w:rsidR="00E07D59">
              <w:rPr>
                <w:sz w:val="24"/>
              </w:rPr>
              <w:t xml:space="preserve"> disegni ad acquerello realizzati per la decorazione di sete e stoffe nel 1700 e conservati presso il victoria and Albert Museum di Londra.</w:t>
            </w:r>
          </w:p>
          <w:p w14:paraId="7433663D" w14:textId="77777777" w:rsidR="008E75A9" w:rsidRDefault="008E75A9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72E61EBA" w14:textId="77777777" w:rsidR="008E75A9" w:rsidRDefault="008E75A9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0135CD6B" w14:textId="77777777" w:rsidR="00D437FB" w:rsidRDefault="00D437FB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0816417D" w14:textId="77777777" w:rsidR="00916527" w:rsidRDefault="00916527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58DB140E" w14:textId="77777777" w:rsidR="00916527" w:rsidRDefault="00916527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679D328A" w14:textId="77777777" w:rsidR="00916527" w:rsidRDefault="00916527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14A8CB60" w14:textId="77777777" w:rsidR="00916527" w:rsidRDefault="00916527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2A8EE34A" w14:textId="77777777" w:rsidR="00916527" w:rsidRDefault="00916527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46B25750" w14:textId="77777777" w:rsidR="00916527" w:rsidRDefault="00916527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42CC7234" w14:textId="77777777" w:rsidR="00916527" w:rsidRDefault="00916527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3845FC13" w14:textId="77777777" w:rsidR="00916527" w:rsidRDefault="00916527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6FE42DCE" w14:textId="77777777" w:rsidR="00916527" w:rsidRDefault="00916527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1FBE2DED" w14:textId="77777777" w:rsidR="00916527" w:rsidRDefault="00916527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5DF49AC3" w14:textId="77777777" w:rsidR="00916527" w:rsidRDefault="00916527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0BE2177D" w14:textId="77777777" w:rsidR="00916527" w:rsidRDefault="00916527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7BABD86B" w14:textId="77777777" w:rsidR="00916527" w:rsidRDefault="00916527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0A9A820D" w14:textId="77777777" w:rsidR="00916527" w:rsidRDefault="00916527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647BE5E4" w14:textId="77777777" w:rsidR="00916527" w:rsidRPr="00E07D59" w:rsidRDefault="007517EC" w:rsidP="00E07D59">
            <w:pPr>
              <w:pStyle w:val="Table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 w:rsidR="00E07D59">
              <w:rPr>
                <w:sz w:val="24"/>
              </w:rPr>
              <w:t xml:space="preserve">                             </w:t>
            </w:r>
            <w:r w:rsidRPr="00E07D59">
              <w:rPr>
                <w:sz w:val="24"/>
              </w:rPr>
              <w:t>b)</w:t>
            </w:r>
          </w:p>
          <w:p w14:paraId="002F4C60" w14:textId="77777777" w:rsidR="00916527" w:rsidRDefault="00916527" w:rsidP="008E75A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749B0C50" wp14:editId="7B344E79">
                  <wp:simplePos x="0" y="0"/>
                  <wp:positionH relativeFrom="column">
                    <wp:posOffset>2757245</wp:posOffset>
                  </wp:positionH>
                  <wp:positionV relativeFrom="paragraph">
                    <wp:posOffset>450796</wp:posOffset>
                  </wp:positionV>
                  <wp:extent cx="3917234" cy="2989171"/>
                  <wp:effectExtent l="0" t="457200" r="0" b="439829"/>
                  <wp:wrapNone/>
                  <wp:docPr id="8" name="Immagine 6" descr="image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2).jpeg"/>
                          <pic:cNvPicPr/>
                        </pic:nvPicPr>
                        <pic:blipFill>
                          <a:blip r:embed="rId5" cstate="print"/>
                          <a:srcRect l="1643" t="11920" r="1178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19855" cy="2991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lang w:bidi="ar-SA"/>
              </w:rPr>
              <w:drawing>
                <wp:inline distT="0" distB="0" distL="0" distR="0" wp14:anchorId="20B36A13" wp14:editId="1DF926F5">
                  <wp:extent cx="3106502" cy="2067636"/>
                  <wp:effectExtent l="19050" t="0" r="0" b="0"/>
                  <wp:docPr id="4" name="Immagine 3" descr="MolabCospi5047-copia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abCospi5047-copia-scale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232" cy="2068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91AB9C" w14:textId="77777777" w:rsidR="00916527" w:rsidRDefault="007517EC" w:rsidP="008E75A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c)</w:t>
            </w:r>
          </w:p>
          <w:p w14:paraId="3C714402" w14:textId="77777777" w:rsidR="00916527" w:rsidRDefault="007517EC" w:rsidP="008E75A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7A58467D" wp14:editId="2795202C">
                  <wp:simplePos x="0" y="0"/>
                  <wp:positionH relativeFrom="column">
                    <wp:posOffset>74684</wp:posOffset>
                  </wp:positionH>
                  <wp:positionV relativeFrom="paragraph">
                    <wp:posOffset>-3848</wp:posOffset>
                  </wp:positionV>
                  <wp:extent cx="3147230" cy="1678675"/>
                  <wp:effectExtent l="19050" t="0" r="0" b="0"/>
                  <wp:wrapNone/>
                  <wp:docPr id="9" name="Immagine 1" descr="macroXRF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roXRF (5).jpg"/>
                          <pic:cNvPicPr/>
                        </pic:nvPicPr>
                        <pic:blipFill>
                          <a:blip r:embed="rId7" cstate="print"/>
                          <a:srcRect l="6152" t="13913" r="5273" b="229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230" cy="167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04ADBC3" w14:textId="77777777" w:rsidR="00916527" w:rsidRDefault="00916527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32DDBC48" w14:textId="77777777" w:rsidR="00916527" w:rsidRDefault="00916527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7F8CD3F8" w14:textId="77777777" w:rsidR="00916527" w:rsidRDefault="00916527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58ACCBAD" w14:textId="77777777" w:rsidR="00916527" w:rsidRDefault="00916527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780E8BFA" w14:textId="77777777" w:rsidR="00916527" w:rsidRDefault="00916527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611CF7BF" w14:textId="77777777" w:rsidR="00916527" w:rsidRDefault="00916527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2F593307" w14:textId="77777777" w:rsidR="00916527" w:rsidRDefault="00916527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0C0768D1" w14:textId="77777777" w:rsidR="00916527" w:rsidRDefault="00916527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134CC22A" w14:textId="77777777" w:rsidR="00916527" w:rsidRDefault="00916527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</w:tr>
    </w:tbl>
    <w:p w14:paraId="565DD225" w14:textId="77777777" w:rsidR="003A7089" w:rsidRDefault="003A7089">
      <w:pPr>
        <w:jc w:val="both"/>
        <w:rPr>
          <w:sz w:val="24"/>
        </w:rPr>
      </w:pPr>
    </w:p>
    <w:p w14:paraId="6853B832" w14:textId="77777777" w:rsidR="00E07D59" w:rsidRDefault="00E07D59">
      <w:pPr>
        <w:jc w:val="both"/>
        <w:rPr>
          <w:sz w:val="24"/>
        </w:rPr>
        <w:sectPr w:rsidR="00E07D59">
          <w:type w:val="continuous"/>
          <w:pgSz w:w="11910" w:h="16840"/>
          <w:pgMar w:top="1400" w:right="900" w:bottom="280" w:left="920" w:header="720" w:footer="720" w:gutter="0"/>
          <w:cols w:space="720"/>
        </w:sectPr>
      </w:pPr>
    </w:p>
    <w:p w14:paraId="6ECE5670" w14:textId="20C64578" w:rsidR="003A7089" w:rsidRDefault="00F24BCB">
      <w:pPr>
        <w:pStyle w:val="BodyText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 w14:anchorId="6028E3C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6.1pt;height:272.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BB7A403" w14:textId="77777777" w:rsidR="003A7089" w:rsidRDefault="003A7089"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 w14:paraId="6F1BC295" w14:textId="77777777" w:rsidR="003A7089" w:rsidRDefault="007666E9">
                  <w:pPr>
                    <w:spacing w:line="275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MAGGIORI INFORMAZIONI:</w:t>
                  </w:r>
                </w:p>
                <w:p w14:paraId="1704B083" w14:textId="77777777" w:rsidR="00D14FDC" w:rsidRDefault="00D14FDC">
                  <w:pPr>
                    <w:spacing w:line="275" w:lineRule="exact"/>
                    <w:ind w:left="103"/>
                    <w:rPr>
                      <w:b/>
                      <w:sz w:val="24"/>
                    </w:rPr>
                  </w:pPr>
                </w:p>
                <w:p w14:paraId="29F45819" w14:textId="77777777" w:rsidR="00916527" w:rsidRDefault="00D14FDC" w:rsidP="00916527">
                  <w:pPr>
                    <w:spacing w:line="275" w:lineRule="exact"/>
                    <w:ind w:left="142"/>
                    <w:rPr>
                      <w:sz w:val="24"/>
                    </w:rPr>
                  </w:pPr>
                  <w:r w:rsidRPr="00D14FDC">
                    <w:rPr>
                      <w:sz w:val="24"/>
                    </w:rPr>
                    <w:t xml:space="preserve">R. Alberti, T. Frizzi, L. Bombelli, M. Gironda, N. Aresi, , F. Rosi, C. </w:t>
                  </w:r>
                  <w:proofErr w:type="spellStart"/>
                  <w:r w:rsidRPr="00D14FDC">
                    <w:rPr>
                      <w:sz w:val="24"/>
                    </w:rPr>
                    <w:t>Miliani</w:t>
                  </w:r>
                  <w:proofErr w:type="spellEnd"/>
                  <w:r w:rsidRPr="00D14FDC">
                    <w:rPr>
                      <w:sz w:val="24"/>
                    </w:rPr>
                    <w:t xml:space="preserve">, G. Tranquilli, F. Talarico L. </w:t>
                  </w:r>
                  <w:proofErr w:type="spellStart"/>
                  <w:r w:rsidRPr="00D14FDC">
                    <w:rPr>
                      <w:sz w:val="24"/>
                    </w:rPr>
                    <w:t>Cartechini</w:t>
                  </w:r>
                  <w:proofErr w:type="spellEnd"/>
                  <w:r w:rsidRPr="00D14FDC">
                    <w:rPr>
                      <w:sz w:val="24"/>
                    </w:rPr>
                    <w:t xml:space="preserve"> (2017) CRONO: a fast and </w:t>
                  </w:r>
                  <w:proofErr w:type="spellStart"/>
                  <w:r w:rsidRPr="00D14FDC">
                    <w:rPr>
                      <w:sz w:val="24"/>
                    </w:rPr>
                    <w:t>reconfigurable</w:t>
                  </w:r>
                  <w:proofErr w:type="spellEnd"/>
                  <w:r w:rsidRPr="00D14FDC">
                    <w:rPr>
                      <w:sz w:val="24"/>
                    </w:rPr>
                    <w:t xml:space="preserve"> macro X-</w:t>
                  </w:r>
                  <w:proofErr w:type="spellStart"/>
                  <w:r w:rsidRPr="00D14FDC">
                    <w:rPr>
                      <w:sz w:val="24"/>
                    </w:rPr>
                    <w:t>ray</w:t>
                  </w:r>
                  <w:proofErr w:type="spellEnd"/>
                  <w:r w:rsidRPr="00D14FDC">
                    <w:rPr>
                      <w:sz w:val="24"/>
                    </w:rPr>
                    <w:t xml:space="preserve"> </w:t>
                  </w:r>
                  <w:proofErr w:type="spellStart"/>
                  <w:r w:rsidRPr="00D14FDC">
                    <w:rPr>
                      <w:sz w:val="24"/>
                    </w:rPr>
                    <w:t>fluorescence</w:t>
                  </w:r>
                  <w:proofErr w:type="spellEnd"/>
                  <w:r w:rsidRPr="00D14FDC">
                    <w:rPr>
                      <w:sz w:val="24"/>
                    </w:rPr>
                    <w:t xml:space="preserve"> scanner for in-situ </w:t>
                  </w:r>
                  <w:proofErr w:type="spellStart"/>
                  <w:r w:rsidRPr="00D14FDC">
                    <w:rPr>
                      <w:sz w:val="24"/>
                    </w:rPr>
                    <w:t>investigations</w:t>
                  </w:r>
                  <w:proofErr w:type="spellEnd"/>
                  <w:r w:rsidRPr="00D14FDC">
                    <w:rPr>
                      <w:sz w:val="24"/>
                    </w:rPr>
                    <w:t xml:space="preserve"> of </w:t>
                  </w:r>
                  <w:proofErr w:type="spellStart"/>
                  <w:r w:rsidRPr="00D14FDC">
                    <w:rPr>
                      <w:sz w:val="24"/>
                    </w:rPr>
                    <w:t>heritage</w:t>
                  </w:r>
                  <w:proofErr w:type="spellEnd"/>
                  <w:r w:rsidRPr="00D14FDC">
                    <w:rPr>
                      <w:sz w:val="24"/>
                    </w:rPr>
                    <w:t xml:space="preserve"> </w:t>
                  </w:r>
                  <w:proofErr w:type="spellStart"/>
                  <w:r w:rsidRPr="00D14FDC">
                    <w:rPr>
                      <w:sz w:val="24"/>
                    </w:rPr>
                    <w:t>objects</w:t>
                  </w:r>
                  <w:proofErr w:type="spellEnd"/>
                  <w:r w:rsidRPr="00D14FDC">
                    <w:rPr>
                      <w:sz w:val="24"/>
                    </w:rPr>
                    <w:t xml:space="preserve">. X-RAY SPECTROMETRY. </w:t>
                  </w:r>
                </w:p>
                <w:p w14:paraId="1DE48E00" w14:textId="77777777" w:rsidR="00D14FDC" w:rsidRDefault="00916527" w:rsidP="00916527">
                  <w:pPr>
                    <w:spacing w:line="275" w:lineRule="exact"/>
                    <w:ind w:left="14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D</w:t>
                  </w:r>
                  <w:r w:rsidR="00D14FDC" w:rsidRPr="00D14FDC">
                    <w:rPr>
                      <w:sz w:val="24"/>
                    </w:rPr>
                    <w:t>oi</w:t>
                  </w:r>
                  <w:proofErr w:type="spellEnd"/>
                  <w:r w:rsidR="00D14FDC" w:rsidRPr="00D14FDC">
                    <w:rPr>
                      <w:sz w:val="24"/>
                    </w:rPr>
                    <w:t xml:space="preserve"> 10.1002/</w:t>
                  </w:r>
                  <w:proofErr w:type="spellStart"/>
                  <w:r w:rsidR="00D14FDC" w:rsidRPr="00D14FDC">
                    <w:rPr>
                      <w:sz w:val="24"/>
                    </w:rPr>
                    <w:t>xr</w:t>
                  </w:r>
                  <w:proofErr w:type="spellEnd"/>
                  <w:r w:rsidR="00D14FDC" w:rsidRPr="00D14FDC">
                    <w:rPr>
                      <w:sz w:val="24"/>
                    </w:rPr>
                    <w:t xml:space="preserve"> s.2741</w:t>
                  </w:r>
                </w:p>
                <w:p w14:paraId="64286473" w14:textId="77777777" w:rsidR="00916527" w:rsidRDefault="00916527" w:rsidP="00916527">
                  <w:pPr>
                    <w:spacing w:line="275" w:lineRule="exact"/>
                    <w:ind w:left="142"/>
                    <w:rPr>
                      <w:sz w:val="24"/>
                    </w:rPr>
                  </w:pPr>
                </w:p>
                <w:p w14:paraId="7CA2706E" w14:textId="77777777" w:rsidR="00916527" w:rsidRPr="00916527" w:rsidRDefault="00916527" w:rsidP="00916527">
                  <w:pPr>
                    <w:widowControl/>
                    <w:adjustRightInd w:val="0"/>
                    <w:ind w:left="142"/>
                    <w:contextualSpacing/>
                    <w:jc w:val="both"/>
                    <w:rPr>
                      <w:sz w:val="24"/>
                      <w:lang w:val="en-GB"/>
                    </w:rPr>
                  </w:pPr>
                  <w:r w:rsidRPr="00916527">
                    <w:rPr>
                      <w:color w:val="222222"/>
                      <w:sz w:val="24"/>
                      <w:shd w:val="clear" w:color="auto" w:fill="FFFFFF"/>
                    </w:rPr>
                    <w:t xml:space="preserve">Manca, R., Burgio, L., Button, V., Browne, C., Turner, O. H., </w:t>
                  </w:r>
                  <w:proofErr w:type="spellStart"/>
                  <w:r w:rsidRPr="00916527">
                    <w:rPr>
                      <w:color w:val="222222"/>
                      <w:sz w:val="24"/>
                      <w:shd w:val="clear" w:color="auto" w:fill="FFFFFF"/>
                    </w:rPr>
                    <w:t>Rutherston</w:t>
                  </w:r>
                  <w:proofErr w:type="spellEnd"/>
                  <w:r w:rsidRPr="00916527">
                    <w:rPr>
                      <w:color w:val="222222"/>
                      <w:sz w:val="24"/>
                      <w:shd w:val="clear" w:color="auto" w:fill="FFFFFF"/>
                    </w:rPr>
                    <w:t xml:space="preserve">, J., </w:t>
                  </w:r>
                  <w:proofErr w:type="spellStart"/>
                  <w:r w:rsidRPr="00916527">
                    <w:rPr>
                      <w:color w:val="222222"/>
                      <w:sz w:val="24"/>
                      <w:shd w:val="clear" w:color="auto" w:fill="FFFFFF"/>
                    </w:rPr>
                    <w:t>Cartechini</w:t>
                  </w:r>
                  <w:proofErr w:type="spellEnd"/>
                  <w:r w:rsidRPr="00916527">
                    <w:rPr>
                      <w:color w:val="222222"/>
                      <w:sz w:val="24"/>
                      <w:shd w:val="clear" w:color="auto" w:fill="FFFFFF"/>
                    </w:rPr>
                    <w:t xml:space="preserve">, L., Doherty, B., Grazia, C., </w:t>
                  </w:r>
                  <w:proofErr w:type="spellStart"/>
                  <w:r w:rsidRPr="00916527">
                    <w:rPr>
                      <w:color w:val="222222"/>
                      <w:sz w:val="24"/>
                      <w:shd w:val="clear" w:color="auto" w:fill="FFFFFF"/>
                    </w:rPr>
                    <w:t>Paolantoni</w:t>
                  </w:r>
                  <w:proofErr w:type="spellEnd"/>
                  <w:r w:rsidRPr="00916527">
                    <w:rPr>
                      <w:color w:val="222222"/>
                      <w:sz w:val="24"/>
                      <w:shd w:val="clear" w:color="auto" w:fill="FFFFFF"/>
                    </w:rPr>
                    <w:t xml:space="preserve">, M., Rosi, F., Barucci, M., Fontana R., </w:t>
                  </w:r>
                  <w:proofErr w:type="spellStart"/>
                  <w:r w:rsidRPr="00916527">
                    <w:rPr>
                      <w:color w:val="222222"/>
                      <w:sz w:val="24"/>
                      <w:shd w:val="clear" w:color="auto" w:fill="FFFFFF"/>
                    </w:rPr>
                    <w:t>Tournie</w:t>
                  </w:r>
                  <w:proofErr w:type="spellEnd"/>
                  <w:r w:rsidRPr="00916527">
                    <w:rPr>
                      <w:color w:val="222222"/>
                      <w:sz w:val="24"/>
                      <w:shd w:val="clear" w:color="auto" w:fill="FFFFFF"/>
                    </w:rPr>
                    <w:t xml:space="preserve">, A., </w:t>
                  </w:r>
                  <w:proofErr w:type="spellStart"/>
                  <w:r w:rsidRPr="00916527">
                    <w:rPr>
                      <w:color w:val="222222"/>
                      <w:sz w:val="24"/>
                      <w:shd w:val="clear" w:color="auto" w:fill="FFFFFF"/>
                    </w:rPr>
                    <w:t>Andraud</w:t>
                  </w:r>
                  <w:proofErr w:type="spellEnd"/>
                  <w:r w:rsidRPr="00916527">
                    <w:rPr>
                      <w:color w:val="222222"/>
                      <w:sz w:val="24"/>
                      <w:shd w:val="clear" w:color="auto" w:fill="FFFFFF"/>
                    </w:rPr>
                    <w:t xml:space="preserve"> C, Michelin, A. (2019). </w:t>
                  </w:r>
                  <w:r w:rsidRPr="00916527">
                    <w:rPr>
                      <w:color w:val="222222"/>
                      <w:sz w:val="24"/>
                      <w:shd w:val="clear" w:color="auto" w:fill="FFFFFF"/>
                      <w:lang w:val="en-GB"/>
                    </w:rPr>
                    <w:t>Scientific analysis underpinning the multidisciplinary project “The Lem</w:t>
                  </w:r>
                  <w:r>
                    <w:rPr>
                      <w:color w:val="222222"/>
                      <w:sz w:val="24"/>
                      <w:shd w:val="clear" w:color="auto" w:fill="FFFFFF"/>
                      <w:lang w:val="en-GB"/>
                    </w:rPr>
                    <w:t>an Album: an Enhanced Facsimile</w:t>
                  </w:r>
                  <w:r w:rsidRPr="00916527">
                    <w:rPr>
                      <w:color w:val="222222"/>
                      <w:sz w:val="24"/>
                      <w:shd w:val="clear" w:color="auto" w:fill="FFFFFF"/>
                      <w:lang w:val="en-GB"/>
                    </w:rPr>
                    <w:t>. </w:t>
                  </w:r>
                  <w:r w:rsidRPr="00916527">
                    <w:rPr>
                      <w:i/>
                      <w:iCs/>
                      <w:color w:val="222222"/>
                      <w:sz w:val="24"/>
                      <w:shd w:val="clear" w:color="auto" w:fill="FFFFFF"/>
                      <w:lang w:val="en-GB"/>
                    </w:rPr>
                    <w:t>The European Physical Journal Plus</w:t>
                  </w:r>
                  <w:r w:rsidRPr="00916527">
                    <w:rPr>
                      <w:color w:val="222222"/>
                      <w:sz w:val="24"/>
                      <w:shd w:val="clear" w:color="auto" w:fill="FFFFFF"/>
                      <w:lang w:val="en-GB"/>
                    </w:rPr>
                    <w:t>, </w:t>
                  </w:r>
                  <w:r w:rsidRPr="00916527">
                    <w:rPr>
                      <w:i/>
                      <w:iCs/>
                      <w:color w:val="222222"/>
                      <w:sz w:val="24"/>
                      <w:shd w:val="clear" w:color="auto" w:fill="FFFFFF"/>
                      <w:lang w:val="en-GB"/>
                    </w:rPr>
                    <w:t>134</w:t>
                  </w:r>
                  <w:r w:rsidRPr="00916527">
                    <w:rPr>
                      <w:color w:val="222222"/>
                      <w:sz w:val="24"/>
                      <w:shd w:val="clear" w:color="auto" w:fill="FFFFFF"/>
                      <w:lang w:val="en-GB"/>
                    </w:rPr>
                    <w:t>(6), 267.</w:t>
                  </w:r>
                </w:p>
                <w:p w14:paraId="7EC0384C" w14:textId="7A98DF92" w:rsidR="00916527" w:rsidRDefault="00916527" w:rsidP="00D14FDC">
                  <w:pPr>
                    <w:spacing w:line="275" w:lineRule="exact"/>
                    <w:ind w:left="103"/>
                    <w:rPr>
                      <w:sz w:val="24"/>
                      <w:lang w:val="en-GB"/>
                    </w:rPr>
                  </w:pPr>
                  <w:r>
                    <w:rPr>
                      <w:sz w:val="24"/>
                      <w:lang w:val="en-GB"/>
                    </w:rPr>
                    <w:t xml:space="preserve">Doi </w:t>
                  </w:r>
                  <w:r w:rsidRPr="00916527">
                    <w:rPr>
                      <w:sz w:val="24"/>
                      <w:lang w:val="en-GB"/>
                    </w:rPr>
                    <w:t>10.1140/</w:t>
                  </w:r>
                  <w:proofErr w:type="spellStart"/>
                  <w:r w:rsidRPr="00916527">
                    <w:rPr>
                      <w:sz w:val="24"/>
                      <w:lang w:val="en-GB"/>
                    </w:rPr>
                    <w:t>epjp</w:t>
                  </w:r>
                  <w:proofErr w:type="spellEnd"/>
                  <w:r w:rsidRPr="00916527">
                    <w:rPr>
                      <w:sz w:val="24"/>
                      <w:lang w:val="en-GB"/>
                    </w:rPr>
                    <w:t>/i2019-12668-0</w:t>
                  </w:r>
                </w:p>
                <w:p w14:paraId="55C5D2DB" w14:textId="21370E47" w:rsidR="00F24BCB" w:rsidRDefault="00F24BCB" w:rsidP="00D14FDC">
                  <w:pPr>
                    <w:spacing w:line="275" w:lineRule="exact"/>
                    <w:ind w:left="103"/>
                    <w:rPr>
                      <w:sz w:val="24"/>
                      <w:lang w:val="en-GB"/>
                    </w:rPr>
                  </w:pPr>
                </w:p>
                <w:p w14:paraId="582B70CA" w14:textId="11DE4E27" w:rsidR="00F24BCB" w:rsidRPr="00916527" w:rsidRDefault="00F24BCB" w:rsidP="00D14FDC">
                  <w:pPr>
                    <w:spacing w:line="275" w:lineRule="exact"/>
                    <w:ind w:left="103"/>
                    <w:rPr>
                      <w:sz w:val="24"/>
                      <w:lang w:val="en-GB"/>
                    </w:rPr>
                  </w:pPr>
                  <w:proofErr w:type="spellStart"/>
                  <w:r w:rsidRPr="00F24BCB">
                    <w:rPr>
                      <w:sz w:val="24"/>
                      <w:lang w:val="en-GB"/>
                    </w:rPr>
                    <w:t>Monico</w:t>
                  </w:r>
                  <w:proofErr w:type="spellEnd"/>
                  <w:r w:rsidRPr="00F24BCB">
                    <w:rPr>
                      <w:sz w:val="24"/>
                      <w:lang w:val="en-GB"/>
                    </w:rPr>
                    <w:t xml:space="preserve">, L., </w:t>
                  </w:r>
                  <w:proofErr w:type="spellStart"/>
                  <w:r w:rsidRPr="00F24BCB">
                    <w:rPr>
                      <w:sz w:val="24"/>
                      <w:lang w:val="en-GB"/>
                    </w:rPr>
                    <w:t>Cartechini</w:t>
                  </w:r>
                  <w:proofErr w:type="spellEnd"/>
                  <w:r w:rsidRPr="00F24BCB">
                    <w:rPr>
                      <w:sz w:val="24"/>
                      <w:lang w:val="en-GB"/>
                    </w:rPr>
                    <w:t xml:space="preserve">, L., </w:t>
                  </w:r>
                  <w:proofErr w:type="spellStart"/>
                  <w:r w:rsidRPr="00F24BCB">
                    <w:rPr>
                      <w:sz w:val="24"/>
                      <w:lang w:val="en-GB"/>
                    </w:rPr>
                    <w:t>Rosi</w:t>
                  </w:r>
                  <w:proofErr w:type="spellEnd"/>
                  <w:r w:rsidRPr="00F24BCB">
                    <w:rPr>
                      <w:sz w:val="24"/>
                      <w:lang w:val="en-GB"/>
                    </w:rPr>
                    <w:t xml:space="preserve">, F., </w:t>
                  </w:r>
                  <w:proofErr w:type="spellStart"/>
                  <w:r w:rsidRPr="00F24BCB">
                    <w:rPr>
                      <w:sz w:val="24"/>
                      <w:lang w:val="en-GB"/>
                    </w:rPr>
                    <w:t>Chieli</w:t>
                  </w:r>
                  <w:proofErr w:type="spellEnd"/>
                  <w:r w:rsidRPr="00F24BCB">
                    <w:rPr>
                      <w:sz w:val="24"/>
                      <w:lang w:val="en-GB"/>
                    </w:rPr>
                    <w:t xml:space="preserve">, A., Grazia, C., De  Meyer, S., </w:t>
                  </w:r>
                  <w:proofErr w:type="spellStart"/>
                  <w:r w:rsidRPr="00F24BCB">
                    <w:rPr>
                      <w:sz w:val="24"/>
                      <w:lang w:val="en-GB"/>
                    </w:rPr>
                    <w:t>Nuyts</w:t>
                  </w:r>
                  <w:proofErr w:type="spellEnd"/>
                  <w:r w:rsidRPr="00F24BCB">
                    <w:rPr>
                      <w:sz w:val="24"/>
                      <w:lang w:val="en-GB"/>
                    </w:rPr>
                    <w:t xml:space="preserve"> G., </w:t>
                  </w:r>
                  <w:proofErr w:type="spellStart"/>
                  <w:r w:rsidRPr="00F24BCB">
                    <w:rPr>
                      <w:sz w:val="24"/>
                      <w:lang w:val="en-GB"/>
                    </w:rPr>
                    <w:t>Vanmeert</w:t>
                  </w:r>
                  <w:proofErr w:type="spellEnd"/>
                  <w:r w:rsidRPr="00F24BCB">
                    <w:rPr>
                      <w:sz w:val="24"/>
                      <w:lang w:val="en-GB"/>
                    </w:rPr>
                    <w:t xml:space="preserve">, F., Janssens, K.,  </w:t>
                  </w:r>
                  <w:proofErr w:type="spellStart"/>
                  <w:r w:rsidRPr="00F24BCB">
                    <w:rPr>
                      <w:sz w:val="24"/>
                      <w:lang w:val="en-GB"/>
                    </w:rPr>
                    <w:t>Cotte</w:t>
                  </w:r>
                  <w:proofErr w:type="spellEnd"/>
                  <w:r w:rsidRPr="00F24BCB">
                    <w:rPr>
                      <w:sz w:val="24"/>
                      <w:lang w:val="en-GB"/>
                    </w:rPr>
                    <w:t xml:space="preserve">, M., De </w:t>
                  </w:r>
                  <w:proofErr w:type="spellStart"/>
                  <w:r w:rsidRPr="00F24BCB">
                    <w:rPr>
                      <w:sz w:val="24"/>
                      <w:lang w:val="en-GB"/>
                    </w:rPr>
                    <w:t>Nolf</w:t>
                  </w:r>
                  <w:proofErr w:type="spellEnd"/>
                  <w:r w:rsidRPr="00F24BCB">
                    <w:rPr>
                      <w:sz w:val="24"/>
                      <w:lang w:val="en-GB"/>
                    </w:rPr>
                    <w:t xml:space="preserve">,  W., Falkenberg, G.,  </w:t>
                  </w:r>
                  <w:proofErr w:type="spellStart"/>
                  <w:r w:rsidRPr="00F24BCB">
                    <w:rPr>
                      <w:sz w:val="24"/>
                      <w:lang w:val="en-GB"/>
                    </w:rPr>
                    <w:t>Crina</w:t>
                  </w:r>
                  <w:proofErr w:type="spellEnd"/>
                  <w:r w:rsidRPr="00F24BCB">
                    <w:rPr>
                      <w:sz w:val="24"/>
                      <w:lang w:val="en-GB"/>
                    </w:rPr>
                    <w:t xml:space="preserve"> Anca </w:t>
                  </w:r>
                  <w:proofErr w:type="spellStart"/>
                  <w:r w:rsidRPr="00F24BCB">
                    <w:rPr>
                      <w:sz w:val="24"/>
                      <w:lang w:val="en-GB"/>
                    </w:rPr>
                    <w:t>Sandu</w:t>
                  </w:r>
                  <w:proofErr w:type="spellEnd"/>
                  <w:r w:rsidRPr="00F24BCB">
                    <w:rPr>
                      <w:sz w:val="24"/>
                      <w:lang w:val="en-GB"/>
                    </w:rPr>
                    <w:t xml:space="preserve">, I., </w:t>
                  </w:r>
                  <w:proofErr w:type="spellStart"/>
                  <w:r w:rsidRPr="00F24BCB">
                    <w:rPr>
                      <w:sz w:val="24"/>
                      <w:lang w:val="en-GB"/>
                    </w:rPr>
                    <w:t>Storevik</w:t>
                  </w:r>
                  <w:proofErr w:type="spellEnd"/>
                  <w:r w:rsidRPr="00F24BCB">
                    <w:rPr>
                      <w:sz w:val="24"/>
                      <w:lang w:val="en-GB"/>
                    </w:rPr>
                    <w:t xml:space="preserve">, </w:t>
                  </w:r>
                  <w:proofErr w:type="spellStart"/>
                  <w:r w:rsidRPr="00F24BCB">
                    <w:rPr>
                      <w:sz w:val="24"/>
                      <w:lang w:val="en-GB"/>
                    </w:rPr>
                    <w:t>Tveit</w:t>
                  </w:r>
                  <w:proofErr w:type="spellEnd"/>
                  <w:r w:rsidRPr="00F24BCB">
                    <w:rPr>
                      <w:sz w:val="24"/>
                      <w:lang w:val="en-GB"/>
                    </w:rPr>
                    <w:t xml:space="preserve">, E., Mass,  J., Pereira de Freitas, R., Romani, A., </w:t>
                  </w:r>
                  <w:proofErr w:type="spellStart"/>
                  <w:r w:rsidRPr="00F24BCB">
                    <w:rPr>
                      <w:sz w:val="24"/>
                      <w:lang w:val="en-GB"/>
                    </w:rPr>
                    <w:t>Miliani</w:t>
                  </w:r>
                  <w:proofErr w:type="spellEnd"/>
                  <w:r w:rsidRPr="00F24BCB">
                    <w:rPr>
                      <w:sz w:val="24"/>
                      <w:lang w:val="en-GB"/>
                    </w:rPr>
                    <w:t xml:space="preserve">, C. (2020). </w:t>
                  </w:r>
                  <w:r w:rsidRPr="00F24BCB">
                    <w:rPr>
                      <w:sz w:val="24"/>
                      <w:lang w:val="en-GB"/>
                    </w:rPr>
                    <w:t>Probing the</w:t>
                  </w:r>
                  <w:r w:rsidRPr="00F24BCB">
                    <w:rPr>
                      <w:sz w:val="24"/>
                      <w:lang w:val="en-GB"/>
                    </w:rPr>
                    <w:t xml:space="preserve"> chemistry of </w:t>
                  </w:r>
                  <w:proofErr w:type="spellStart"/>
                  <w:r w:rsidRPr="00F24BCB">
                    <w:rPr>
                      <w:sz w:val="24"/>
                      <w:lang w:val="en-GB"/>
                    </w:rPr>
                    <w:t>CdS</w:t>
                  </w:r>
                  <w:proofErr w:type="spellEnd"/>
                  <w:r w:rsidRPr="00F24BCB">
                    <w:rPr>
                      <w:sz w:val="24"/>
                      <w:lang w:val="en-GB"/>
                    </w:rPr>
                    <w:t xml:space="preserve"> paints in The Scream by in situ </w:t>
                  </w:r>
                  <w:proofErr w:type="spellStart"/>
                  <w:r w:rsidRPr="00F24BCB">
                    <w:rPr>
                      <w:sz w:val="24"/>
                      <w:lang w:val="en-GB"/>
                    </w:rPr>
                    <w:t>noninvasive</w:t>
                  </w:r>
                  <w:proofErr w:type="spellEnd"/>
                  <w:r w:rsidRPr="00F24BCB">
                    <w:rPr>
                      <w:sz w:val="24"/>
                      <w:lang w:val="en-GB"/>
                    </w:rPr>
                    <w:t xml:space="preserve"> spectroscopies</w:t>
                  </w:r>
                  <w:r w:rsidRPr="00F24BCB">
                    <w:rPr>
                      <w:sz w:val="24"/>
                      <w:lang w:val="en-GB"/>
                    </w:rPr>
                    <w:t xml:space="preserve"> and synchrotron radiation x-ray techniques. </w:t>
                  </w:r>
                  <w:r w:rsidRPr="00F24BCB">
                    <w:rPr>
                      <w:sz w:val="24"/>
                      <w:lang w:val="en-GB"/>
                    </w:rPr>
                    <w:t>Science Advances</w:t>
                  </w:r>
                  <w:r w:rsidRPr="00F24BCB">
                    <w:rPr>
                      <w:sz w:val="24"/>
                      <w:lang w:val="en-GB"/>
                    </w:rPr>
                    <w:t>, 6(20), eaay3514.</w:t>
                  </w:r>
                </w:p>
              </w:txbxContent>
            </v:textbox>
            <w10:anchorlock/>
          </v:shape>
        </w:pict>
      </w:r>
    </w:p>
    <w:p w14:paraId="7CD705B0" w14:textId="77777777" w:rsidR="00916527" w:rsidRDefault="00916527">
      <w:pPr>
        <w:pStyle w:val="BodyText"/>
        <w:spacing w:before="6"/>
        <w:rPr>
          <w:sz w:val="26"/>
        </w:rPr>
      </w:pPr>
    </w:p>
    <w:p w14:paraId="60022CA4" w14:textId="77777777" w:rsidR="00916527" w:rsidRDefault="00916527">
      <w:pPr>
        <w:pStyle w:val="BodyText"/>
        <w:spacing w:before="6"/>
        <w:rPr>
          <w:sz w:val="26"/>
        </w:rPr>
      </w:pPr>
    </w:p>
    <w:p w14:paraId="4E778B95" w14:textId="77777777" w:rsidR="00916527" w:rsidRDefault="00916527">
      <w:pPr>
        <w:pStyle w:val="BodyText"/>
        <w:spacing w:before="6"/>
        <w:rPr>
          <w:sz w:val="26"/>
        </w:rPr>
      </w:pPr>
    </w:p>
    <w:p w14:paraId="5B32C492" w14:textId="77777777" w:rsidR="003A7089" w:rsidRDefault="007666E9">
      <w:pPr>
        <w:spacing w:before="57"/>
        <w:ind w:left="212"/>
        <w:rPr>
          <w:rFonts w:ascii="Calibri"/>
        </w:rPr>
      </w:pPr>
      <w:r>
        <w:rPr>
          <w:rFonts w:ascii="Calibri"/>
        </w:rPr>
        <w:t xml:space="preserve">Referente: </w:t>
      </w:r>
      <w:r w:rsidR="00D14FDC">
        <w:rPr>
          <w:rFonts w:ascii="Calibri"/>
        </w:rPr>
        <w:t xml:space="preserve">Laura </w:t>
      </w:r>
      <w:proofErr w:type="spellStart"/>
      <w:r w:rsidR="00D14FDC">
        <w:rPr>
          <w:rFonts w:ascii="Calibri"/>
        </w:rPr>
        <w:t>Cartechini</w:t>
      </w:r>
      <w:proofErr w:type="spellEnd"/>
      <w:r>
        <w:rPr>
          <w:rFonts w:ascii="Calibri"/>
        </w:rPr>
        <w:t xml:space="preserve"> (</w:t>
      </w:r>
      <w:hyperlink r:id="rId8" w:history="1">
        <w:r w:rsidR="00D14FDC" w:rsidRPr="00BB30D3">
          <w:rPr>
            <w:rStyle w:val="Hyperlink"/>
            <w:rFonts w:ascii="Calibri"/>
          </w:rPr>
          <w:t>flaura.cartechini@cnr.it</w:t>
        </w:r>
      </w:hyperlink>
      <w:r>
        <w:rPr>
          <w:rFonts w:ascii="Calibri"/>
        </w:rPr>
        <w:t>)</w:t>
      </w:r>
    </w:p>
    <w:p w14:paraId="45ABEF07" w14:textId="77777777" w:rsidR="009D08F6" w:rsidRDefault="009D08F6">
      <w:pPr>
        <w:spacing w:before="57"/>
        <w:ind w:left="212"/>
        <w:rPr>
          <w:rFonts w:ascii="Calibri"/>
        </w:rPr>
      </w:pPr>
    </w:p>
    <w:p w14:paraId="6FFDBF26" w14:textId="77777777" w:rsidR="009D08F6" w:rsidRDefault="009D08F6">
      <w:pPr>
        <w:spacing w:before="57"/>
        <w:ind w:left="212"/>
        <w:rPr>
          <w:rFonts w:ascii="Calibri"/>
        </w:rPr>
      </w:pPr>
    </w:p>
    <w:sectPr w:rsidR="009D08F6" w:rsidSect="003A7089">
      <w:pgSz w:w="11910" w:h="16840"/>
      <w:pgMar w:top="14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07461"/>
    <w:multiLevelType w:val="hybridMultilevel"/>
    <w:tmpl w:val="E556CB1C"/>
    <w:lvl w:ilvl="0" w:tplc="AEE6404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37AC47C">
      <w:numFmt w:val="bullet"/>
      <w:lvlText w:val="•"/>
      <w:lvlJc w:val="left"/>
      <w:pPr>
        <w:ind w:left="1722" w:hanging="360"/>
      </w:pPr>
      <w:rPr>
        <w:rFonts w:hint="default"/>
        <w:lang w:val="it-IT" w:eastAsia="it-IT" w:bidi="it-IT"/>
      </w:rPr>
    </w:lvl>
    <w:lvl w:ilvl="2" w:tplc="82C0A69E">
      <w:numFmt w:val="bullet"/>
      <w:lvlText w:val="•"/>
      <w:lvlJc w:val="left"/>
      <w:pPr>
        <w:ind w:left="2625" w:hanging="360"/>
      </w:pPr>
      <w:rPr>
        <w:rFonts w:hint="default"/>
        <w:lang w:val="it-IT" w:eastAsia="it-IT" w:bidi="it-IT"/>
      </w:rPr>
    </w:lvl>
    <w:lvl w:ilvl="3" w:tplc="8C68DBC6">
      <w:numFmt w:val="bullet"/>
      <w:lvlText w:val="•"/>
      <w:lvlJc w:val="left"/>
      <w:pPr>
        <w:ind w:left="3528" w:hanging="360"/>
      </w:pPr>
      <w:rPr>
        <w:rFonts w:hint="default"/>
        <w:lang w:val="it-IT" w:eastAsia="it-IT" w:bidi="it-IT"/>
      </w:rPr>
    </w:lvl>
    <w:lvl w:ilvl="4" w:tplc="BED0E852">
      <w:numFmt w:val="bullet"/>
      <w:lvlText w:val="•"/>
      <w:lvlJc w:val="left"/>
      <w:pPr>
        <w:ind w:left="4430" w:hanging="360"/>
      </w:pPr>
      <w:rPr>
        <w:rFonts w:hint="default"/>
        <w:lang w:val="it-IT" w:eastAsia="it-IT" w:bidi="it-IT"/>
      </w:rPr>
    </w:lvl>
    <w:lvl w:ilvl="5" w:tplc="4B0A18EC">
      <w:numFmt w:val="bullet"/>
      <w:lvlText w:val="•"/>
      <w:lvlJc w:val="left"/>
      <w:pPr>
        <w:ind w:left="5333" w:hanging="360"/>
      </w:pPr>
      <w:rPr>
        <w:rFonts w:hint="default"/>
        <w:lang w:val="it-IT" w:eastAsia="it-IT" w:bidi="it-IT"/>
      </w:rPr>
    </w:lvl>
    <w:lvl w:ilvl="6" w:tplc="7D022140">
      <w:numFmt w:val="bullet"/>
      <w:lvlText w:val="•"/>
      <w:lvlJc w:val="left"/>
      <w:pPr>
        <w:ind w:left="6236" w:hanging="360"/>
      </w:pPr>
      <w:rPr>
        <w:rFonts w:hint="default"/>
        <w:lang w:val="it-IT" w:eastAsia="it-IT" w:bidi="it-IT"/>
      </w:rPr>
    </w:lvl>
    <w:lvl w:ilvl="7" w:tplc="FA0682AE">
      <w:numFmt w:val="bullet"/>
      <w:lvlText w:val="•"/>
      <w:lvlJc w:val="left"/>
      <w:pPr>
        <w:ind w:left="7139" w:hanging="360"/>
      </w:pPr>
      <w:rPr>
        <w:rFonts w:hint="default"/>
        <w:lang w:val="it-IT" w:eastAsia="it-IT" w:bidi="it-IT"/>
      </w:rPr>
    </w:lvl>
    <w:lvl w:ilvl="8" w:tplc="B358A6BA">
      <w:numFmt w:val="bullet"/>
      <w:lvlText w:val="•"/>
      <w:lvlJc w:val="left"/>
      <w:pPr>
        <w:ind w:left="804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89F5BF2"/>
    <w:multiLevelType w:val="hybridMultilevel"/>
    <w:tmpl w:val="575AB172"/>
    <w:lvl w:ilvl="0" w:tplc="DCB6E088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3BDC3264"/>
    <w:multiLevelType w:val="hybridMultilevel"/>
    <w:tmpl w:val="DE504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089"/>
    <w:rsid w:val="00053BB4"/>
    <w:rsid w:val="000B49E9"/>
    <w:rsid w:val="00166153"/>
    <w:rsid w:val="003A7089"/>
    <w:rsid w:val="004E028C"/>
    <w:rsid w:val="0055324E"/>
    <w:rsid w:val="00732561"/>
    <w:rsid w:val="007517EC"/>
    <w:rsid w:val="007666E9"/>
    <w:rsid w:val="008E75A9"/>
    <w:rsid w:val="00916527"/>
    <w:rsid w:val="0099771E"/>
    <w:rsid w:val="009D08F6"/>
    <w:rsid w:val="00A03D98"/>
    <w:rsid w:val="00A505F4"/>
    <w:rsid w:val="00B65F65"/>
    <w:rsid w:val="00C33E69"/>
    <w:rsid w:val="00C532CD"/>
    <w:rsid w:val="00D14FDC"/>
    <w:rsid w:val="00D437FB"/>
    <w:rsid w:val="00DD0912"/>
    <w:rsid w:val="00DD0F6D"/>
    <w:rsid w:val="00E07D59"/>
    <w:rsid w:val="00EB59E4"/>
    <w:rsid w:val="00EC2745"/>
    <w:rsid w:val="00F24BCB"/>
    <w:rsid w:val="00F92CF5"/>
    <w:rsid w:val="00F9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9846DC"/>
  <w15:docId w15:val="{FB3F7321-F5A4-441F-A8A2-46D3F81C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A7089"/>
    <w:rPr>
      <w:rFonts w:ascii="Times New Roman" w:eastAsia="Times New Roman" w:hAnsi="Times New Roman" w:cs="Times New Roman"/>
      <w:lang w:val="it-IT" w:eastAsia="it-IT" w:bidi="it-IT"/>
    </w:rPr>
  </w:style>
  <w:style w:type="paragraph" w:styleId="Heading1">
    <w:name w:val="heading 1"/>
    <w:basedOn w:val="Normal"/>
    <w:link w:val="Heading1Char"/>
    <w:uiPriority w:val="9"/>
    <w:qFormat/>
    <w:rsid w:val="009D08F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A70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A70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7089"/>
  </w:style>
  <w:style w:type="paragraph" w:customStyle="1" w:styleId="TableParagraph">
    <w:name w:val="Table Paragraph"/>
    <w:basedOn w:val="Normal"/>
    <w:uiPriority w:val="1"/>
    <w:qFormat/>
    <w:rsid w:val="003A7089"/>
  </w:style>
  <w:style w:type="paragraph" w:styleId="BalloonText">
    <w:name w:val="Balloon Text"/>
    <w:basedOn w:val="Normal"/>
    <w:link w:val="BalloonTextChar"/>
    <w:uiPriority w:val="99"/>
    <w:semiHidden/>
    <w:unhideWhenUsed/>
    <w:rsid w:val="00732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6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Heading1Char">
    <w:name w:val="Heading 1 Char"/>
    <w:basedOn w:val="DefaultParagraphFont"/>
    <w:link w:val="Heading1"/>
    <w:uiPriority w:val="9"/>
    <w:rsid w:val="009D08F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D0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ura.cartechini@cnr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David Buti</cp:lastModifiedBy>
  <cp:revision>6</cp:revision>
  <dcterms:created xsi:type="dcterms:W3CDTF">2020-10-29T11:12:00Z</dcterms:created>
  <dcterms:modified xsi:type="dcterms:W3CDTF">2020-10-29T13:55:00Z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2020-10-13T00:00:00Z</vt:filetime>
  </property>
</Properties>
</file>